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74EE9C">
      <w:pPr>
        <w:spacing w:line="360" w:lineRule="auto"/>
        <w:ind w:firstLine="560"/>
        <w:jc w:val="center"/>
        <w:rPr>
          <w:rFonts w:ascii="宋体" w:hAnsi="宋体"/>
          <w:b/>
          <w:bCs/>
          <w:sz w:val="36"/>
          <w:szCs w:val="36"/>
        </w:rPr>
      </w:pPr>
      <w:r>
        <w:rPr>
          <w:rFonts w:hint="eastAsia" w:ascii="宋体" w:hAnsi="宋体"/>
          <w:b/>
          <w:bCs/>
          <w:sz w:val="36"/>
          <w:szCs w:val="36"/>
        </w:rPr>
        <w:t>远东智慧能源股份有限公司</w:t>
      </w:r>
    </w:p>
    <w:p w14:paraId="5300EEBE">
      <w:pPr>
        <w:spacing w:line="360" w:lineRule="auto"/>
        <w:ind w:firstLine="560"/>
        <w:jc w:val="center"/>
        <w:rPr>
          <w:rFonts w:ascii="宋体" w:hAnsi="宋体"/>
          <w:b/>
          <w:bCs/>
          <w:sz w:val="36"/>
          <w:szCs w:val="36"/>
          <w:u w:val="double"/>
          <w:lang w:val="zh-CN"/>
        </w:rPr>
      </w:pPr>
      <w:r>
        <w:rPr>
          <w:rFonts w:hint="eastAsia" w:ascii="宋体" w:hAnsi="宋体"/>
          <w:b/>
          <w:bCs/>
          <w:sz w:val="36"/>
          <w:szCs w:val="36"/>
        </w:rPr>
        <w:t>旗下子公司—</w:t>
      </w:r>
      <w:r>
        <w:rPr>
          <w:rFonts w:hint="eastAsia" w:ascii="宋体" w:hAnsi="宋体"/>
          <w:b/>
          <w:bCs/>
          <w:sz w:val="36"/>
          <w:szCs w:val="36"/>
          <w:u w:val="double"/>
          <w:lang w:val="zh-CN"/>
        </w:rPr>
        <w:t>远东</w:t>
      </w:r>
      <w:r>
        <w:rPr>
          <w:rFonts w:hint="eastAsia" w:ascii="宋体" w:hAnsi="宋体"/>
          <w:b/>
          <w:bCs/>
          <w:sz w:val="36"/>
          <w:szCs w:val="36"/>
          <w:u w:val="double"/>
        </w:rPr>
        <w:t>海缆</w:t>
      </w:r>
      <w:r>
        <w:rPr>
          <w:rFonts w:hint="eastAsia" w:ascii="宋体" w:hAnsi="宋体"/>
          <w:b/>
          <w:bCs/>
          <w:sz w:val="36"/>
          <w:szCs w:val="36"/>
          <w:u w:val="double"/>
          <w:lang w:val="zh-CN"/>
        </w:rPr>
        <w:t>有限公司</w:t>
      </w:r>
    </w:p>
    <w:p w14:paraId="7B9DE1F7">
      <w:pPr>
        <w:spacing w:line="360" w:lineRule="auto"/>
        <w:ind w:firstLine="560"/>
        <w:jc w:val="center"/>
        <w:rPr>
          <w:rFonts w:ascii="宋体" w:hAnsi="宋体"/>
          <w:b/>
          <w:bCs/>
          <w:sz w:val="36"/>
          <w:szCs w:val="36"/>
          <w:u w:val="single"/>
        </w:rPr>
      </w:pPr>
      <w:r>
        <w:rPr>
          <w:rFonts w:hint="eastAsia" w:ascii="宋体" w:hAnsi="宋体"/>
          <w:b/>
          <w:bCs/>
          <w:sz w:val="36"/>
          <w:szCs w:val="36"/>
          <w:u w:val="single"/>
        </w:rPr>
        <w:t>挤塑生产线招标书</w:t>
      </w:r>
    </w:p>
    <w:p w14:paraId="5B30D514">
      <w:pPr>
        <w:spacing w:line="600" w:lineRule="exact"/>
        <w:ind w:firstLine="2800" w:firstLineChars="1000"/>
        <w:rPr>
          <w:rFonts w:ascii="宋体" w:hAnsi="宋体"/>
          <w:sz w:val="28"/>
          <w:szCs w:val="28"/>
        </w:rPr>
      </w:pPr>
      <w:r>
        <w:rPr>
          <w:rFonts w:hint="eastAsia" w:ascii="宋体" w:hAnsi="宋体"/>
          <w:sz w:val="28"/>
          <w:szCs w:val="28"/>
        </w:rPr>
        <w:t>招标书编号：</w:t>
      </w:r>
      <w:r>
        <w:rPr>
          <w:rFonts w:ascii="宋体" w:hAnsi="宋体"/>
          <w:sz w:val="28"/>
          <w:szCs w:val="28"/>
        </w:rPr>
        <w:t>202</w:t>
      </w:r>
      <w:r>
        <w:rPr>
          <w:rFonts w:hint="eastAsia" w:ascii="宋体" w:hAnsi="宋体"/>
          <w:sz w:val="28"/>
          <w:szCs w:val="28"/>
          <w:lang w:val="en-US" w:eastAsia="zh-CN"/>
        </w:rPr>
        <w:t>603170</w:t>
      </w:r>
      <w:r>
        <w:rPr>
          <w:rFonts w:hint="eastAsia" w:ascii="宋体" w:hAnsi="宋体"/>
          <w:sz w:val="28"/>
          <w:szCs w:val="28"/>
        </w:rPr>
        <w:t>01</w:t>
      </w:r>
    </w:p>
    <w:p w14:paraId="53715BD7">
      <w:pPr>
        <w:spacing w:line="420" w:lineRule="exact"/>
        <w:rPr>
          <w:rFonts w:ascii="等线" w:hAnsi="等线" w:eastAsia="等线"/>
          <w:b/>
          <w:bCs/>
          <w:color w:val="0070C0"/>
          <w:szCs w:val="21"/>
          <w:lang w:bidi="ar-SA"/>
        </w:rPr>
      </w:pPr>
      <w:r>
        <w:rPr>
          <w:rFonts w:hint="eastAsia" w:ascii="等线" w:hAnsi="等线" w:eastAsia="等线"/>
          <w:b/>
          <w:bCs/>
          <w:color w:val="0070C0"/>
          <w:szCs w:val="21"/>
          <w:lang w:bidi="ar-SA"/>
        </w:rPr>
        <w:t>一、概述</w:t>
      </w:r>
    </w:p>
    <w:p w14:paraId="08836DC5">
      <w:pPr>
        <w:tabs>
          <w:tab w:val="left" w:pos="0"/>
        </w:tabs>
        <w:spacing w:line="300" w:lineRule="auto"/>
        <w:ind w:firstLine="420" w:firstLineChars="200"/>
        <w:rPr>
          <w:rFonts w:hint="eastAsia" w:ascii="宋体" w:hAnsi="宋体" w:eastAsia="宋体" w:cs="宋体"/>
          <w:sz w:val="21"/>
          <w:szCs w:val="21"/>
        </w:rPr>
      </w:pPr>
      <w:r>
        <w:rPr>
          <w:rFonts w:hint="eastAsia" w:ascii="宋体" w:hAnsi="宋体" w:eastAsia="宋体" w:cs="宋体"/>
          <w:sz w:val="21"/>
          <w:szCs w:val="21"/>
        </w:rPr>
        <w:t>远东海缆有限公司，地址：南通市如东县洋口港，本次招标采购设备为一套大规格护套挤塑生产线，投标方应根据招标文件所提出的设备技术规格和质量要求，综合考虑设备的适用性与长期使用可靠性，提供具有最佳性能价格比的设备前来投标。希望投标方以性能精良的设备、优质的服务和优惠的价格，充分显示投标方的竞争实力。</w:t>
      </w:r>
    </w:p>
    <w:p w14:paraId="2E1A3A22">
      <w:pPr>
        <w:spacing w:line="420" w:lineRule="exact"/>
        <w:ind w:firstLine="472" w:firstLineChars="225"/>
        <w:jc w:val="left"/>
        <w:rPr>
          <w:rFonts w:hint="eastAsia" w:ascii="等线" w:hAnsi="等线" w:eastAsia="等线"/>
          <w:szCs w:val="21"/>
          <w:lang w:bidi="ar-SA"/>
        </w:rPr>
      </w:pPr>
    </w:p>
    <w:p w14:paraId="22A1AC87">
      <w:pPr>
        <w:spacing w:line="420" w:lineRule="exact"/>
        <w:jc w:val="left"/>
        <w:rPr>
          <w:rFonts w:ascii="等线" w:hAnsi="等线" w:eastAsia="等线"/>
          <w:b/>
          <w:bCs/>
          <w:color w:val="0070C0"/>
          <w:szCs w:val="21"/>
          <w:lang w:bidi="ar-SA"/>
        </w:rPr>
      </w:pPr>
      <w:r>
        <w:rPr>
          <w:rFonts w:hint="eastAsia" w:ascii="等线" w:hAnsi="等线" w:eastAsia="等线"/>
          <w:b/>
          <w:bCs/>
          <w:color w:val="0070C0"/>
          <w:szCs w:val="21"/>
          <w:lang w:bidi="ar-SA"/>
        </w:rPr>
        <w:t>二、招标设备名称、规格、操作方向、数量</w:t>
      </w:r>
    </w:p>
    <w:p w14:paraId="05A08F71">
      <w:pPr>
        <w:spacing w:line="420" w:lineRule="exact"/>
        <w:ind w:firstLine="420" w:firstLineChars="0"/>
        <w:jc w:val="left"/>
        <w:rPr>
          <w:rFonts w:hint="eastAsia" w:ascii="等线" w:hAnsi="等线" w:eastAsia="等线"/>
          <w:b/>
          <w:bCs/>
          <w:szCs w:val="21"/>
          <w:lang w:bidi="ar-SA"/>
        </w:rPr>
      </w:pPr>
      <w:r>
        <w:rPr>
          <w:rFonts w:hint="eastAsia" w:ascii="等线" w:hAnsi="等线" w:eastAsia="等线"/>
          <w:b/>
          <w:bCs/>
          <w:szCs w:val="21"/>
          <w:lang w:bidi="ar-SA"/>
        </w:rPr>
        <w:t>配套动态缆生产的挤塑机组，</w:t>
      </w:r>
      <w:bookmarkStart w:id="0" w:name="_Hlk105254925"/>
      <w:r>
        <w:rPr>
          <w:rFonts w:hint="eastAsia" w:ascii="等线" w:hAnsi="等线" w:eastAsia="等线"/>
          <w:b/>
          <w:bCs/>
          <w:szCs w:val="21"/>
          <w:lang w:bidi="ar-SA"/>
        </w:rPr>
        <w:t>规格：</w:t>
      </w:r>
      <w:bookmarkStart w:id="1" w:name="_Hlk102826660"/>
      <w:r>
        <w:rPr>
          <w:rFonts w:ascii="等线" w:hAnsi="等线" w:eastAsia="等线"/>
          <w:b/>
          <w:bCs/>
        </w:rPr>
        <w:t>Ф</w:t>
      </w:r>
      <w:bookmarkEnd w:id="1"/>
      <w:r>
        <w:rPr>
          <w:rFonts w:hint="eastAsia" w:ascii="等线" w:hAnsi="等线" w:eastAsia="等线"/>
          <w:b/>
          <w:bCs/>
          <w:szCs w:val="21"/>
          <w:lang w:bidi="ar-SA"/>
        </w:rPr>
        <w:t>2</w:t>
      </w:r>
      <w:r>
        <w:rPr>
          <w:rFonts w:ascii="等线" w:hAnsi="等线" w:eastAsia="等线"/>
          <w:b/>
          <w:bCs/>
          <w:szCs w:val="21"/>
          <w:lang w:bidi="ar-SA"/>
        </w:rPr>
        <w:t>00+</w:t>
      </w:r>
      <w:r>
        <w:rPr>
          <w:rFonts w:ascii="等线" w:hAnsi="等线" w:eastAsia="等线"/>
          <w:b/>
          <w:bCs/>
        </w:rPr>
        <w:t>Ф</w:t>
      </w:r>
      <w:r>
        <w:rPr>
          <w:rFonts w:ascii="等线" w:hAnsi="等线" w:eastAsia="等线"/>
          <w:b/>
          <w:bCs/>
          <w:szCs w:val="21"/>
          <w:lang w:bidi="ar-SA"/>
        </w:rPr>
        <w:t>75</w:t>
      </w:r>
      <w:r>
        <w:rPr>
          <w:rFonts w:hint="eastAsia" w:ascii="等线" w:hAnsi="等线" w:eastAsia="等线"/>
          <w:b/>
          <w:bCs/>
          <w:szCs w:val="21"/>
          <w:lang w:bidi="ar-SA"/>
        </w:rPr>
        <w:t>型</w:t>
      </w:r>
      <w:bookmarkEnd w:id="0"/>
      <w:r>
        <w:rPr>
          <w:rFonts w:hint="eastAsia" w:ascii="等线" w:hAnsi="等线" w:eastAsia="等线"/>
          <w:b/>
          <w:bCs/>
          <w:szCs w:val="21"/>
          <w:lang w:bidi="ar-SA"/>
        </w:rPr>
        <w:t>，1套右手机</w:t>
      </w:r>
    </w:p>
    <w:p w14:paraId="42B40EBE">
      <w:pPr>
        <w:spacing w:line="420" w:lineRule="exact"/>
        <w:ind w:firstLine="420" w:firstLineChars="0"/>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本套挤塑机组主要包含</w:t>
      </w:r>
      <w:r>
        <w:rPr>
          <w:rFonts w:hint="eastAsia" w:asciiTheme="minorEastAsia" w:hAnsiTheme="minorEastAsia" w:eastAsiaTheme="minorEastAsia" w:cstheme="minorEastAsia"/>
        </w:rPr>
        <w:t>Ф</w:t>
      </w:r>
      <w:r>
        <w:rPr>
          <w:rFonts w:hint="eastAsia" w:asciiTheme="minorEastAsia" w:hAnsiTheme="minorEastAsia" w:eastAsiaTheme="minorEastAsia" w:cstheme="minorEastAsia"/>
          <w:szCs w:val="21"/>
          <w:lang w:bidi="ar-SA"/>
        </w:rPr>
        <w:t>200+</w:t>
      </w:r>
      <w:r>
        <w:rPr>
          <w:rFonts w:hint="eastAsia" w:asciiTheme="minorEastAsia" w:hAnsiTheme="minorEastAsia" w:eastAsiaTheme="minorEastAsia" w:cstheme="minorEastAsia"/>
        </w:rPr>
        <w:t>Ф</w:t>
      </w:r>
      <w:r>
        <w:rPr>
          <w:rFonts w:hint="eastAsia" w:asciiTheme="minorEastAsia" w:hAnsiTheme="minorEastAsia" w:eastAsiaTheme="minorEastAsia" w:cstheme="minorEastAsia"/>
          <w:szCs w:val="21"/>
          <w:lang w:bidi="ar-SA"/>
        </w:rPr>
        <w:t>755挤塑机，2个机头，自动烘干上料系统，部分水槽，电控部分。由于前后牵引及部分水槽借用原有的120挤塑机的，水槽和电控需根据现场实际情况确定，且安装后在不生产动态缆时不能影响原有的铅塑联动生产。在生产外护套时，75机进行色条挤出，色条与外护套需完全融合。</w:t>
      </w:r>
    </w:p>
    <w:p w14:paraId="1A692B9B">
      <w:pPr>
        <w:spacing w:line="420" w:lineRule="exact"/>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产线方向定义：操作人员面对操作台，放线在左，收线在右，为右手机；操作人员面对操作台，放线在右，收线在左，为左手机。</w:t>
      </w:r>
    </w:p>
    <w:p w14:paraId="493D40E5">
      <w:pPr>
        <w:spacing w:line="420" w:lineRule="exact"/>
        <w:jc w:val="left"/>
        <w:rPr>
          <w:rFonts w:ascii="等线" w:hAnsi="等线" w:eastAsia="等线"/>
          <w:szCs w:val="21"/>
          <w:lang w:bidi="ar-SA"/>
        </w:rPr>
      </w:pPr>
    </w:p>
    <w:p w14:paraId="434E07D0">
      <w:pPr>
        <w:spacing w:line="420" w:lineRule="exact"/>
        <w:rPr>
          <w:rFonts w:ascii="等线" w:hAnsi="等线" w:eastAsia="等线"/>
          <w:b/>
          <w:bCs/>
          <w:color w:val="0070C0"/>
          <w:szCs w:val="21"/>
          <w:lang w:bidi="ar-SA"/>
        </w:rPr>
      </w:pPr>
      <w:bookmarkStart w:id="2" w:name="_Hlk104294577"/>
      <w:r>
        <w:rPr>
          <w:rFonts w:hint="eastAsia" w:ascii="等线" w:hAnsi="等线" w:eastAsia="等线"/>
          <w:b/>
          <w:bCs/>
          <w:color w:val="0070C0"/>
          <w:szCs w:val="21"/>
          <w:lang w:bidi="ar-SA"/>
        </w:rPr>
        <w:t>三、配套动态缆的挤塑机组，规格：</w:t>
      </w:r>
      <w:r>
        <w:rPr>
          <w:rFonts w:ascii="等线" w:hAnsi="等线" w:eastAsia="等线"/>
          <w:b/>
          <w:bCs/>
          <w:color w:val="0070C0"/>
          <w:szCs w:val="21"/>
          <w:lang w:bidi="ar-SA"/>
        </w:rPr>
        <w:t>Ф</w:t>
      </w:r>
      <w:r>
        <w:rPr>
          <w:rFonts w:hint="eastAsia" w:ascii="等线" w:hAnsi="等线" w:eastAsia="等线"/>
          <w:b/>
          <w:bCs/>
          <w:color w:val="0070C0"/>
          <w:szCs w:val="21"/>
          <w:lang w:bidi="ar-SA"/>
        </w:rPr>
        <w:t>2</w:t>
      </w:r>
      <w:r>
        <w:rPr>
          <w:rFonts w:ascii="等线" w:hAnsi="等线" w:eastAsia="等线"/>
          <w:b/>
          <w:bCs/>
          <w:color w:val="0070C0"/>
          <w:szCs w:val="21"/>
          <w:lang w:bidi="ar-SA"/>
        </w:rPr>
        <w:t>00+Ф75</w:t>
      </w:r>
      <w:r>
        <w:rPr>
          <w:rFonts w:hint="eastAsia" w:ascii="等线" w:hAnsi="等线" w:eastAsia="等线"/>
          <w:b/>
          <w:bCs/>
          <w:color w:val="0070C0"/>
          <w:szCs w:val="21"/>
          <w:lang w:bidi="ar-SA"/>
        </w:rPr>
        <w:t>型</w:t>
      </w:r>
      <w:bookmarkEnd w:id="2"/>
    </w:p>
    <w:p w14:paraId="162B9E74">
      <w:pPr>
        <w:spacing w:line="420" w:lineRule="exact"/>
        <w:rPr>
          <w:rFonts w:hint="eastAsia" w:asciiTheme="minorEastAsia" w:hAnsiTheme="minorEastAsia" w:eastAsiaTheme="minorEastAsia" w:cstheme="minorEastAsia"/>
          <w:szCs w:val="21"/>
          <w:lang w:bidi="ar-SA"/>
        </w:rPr>
      </w:pPr>
      <w:bookmarkStart w:id="3" w:name="_Hlk106195318"/>
      <w:bookmarkStart w:id="4" w:name="_Hlk105316373"/>
      <w:r>
        <w:rPr>
          <w:rFonts w:hint="eastAsia" w:asciiTheme="minorEastAsia" w:hAnsiTheme="minorEastAsia" w:eastAsiaTheme="minorEastAsia" w:cstheme="minorEastAsia"/>
          <w:szCs w:val="21"/>
          <w:lang w:bidi="ar-SA"/>
        </w:rPr>
        <w:t>1、生产线功能：</w:t>
      </w:r>
    </w:p>
    <w:p w14:paraId="2884F814">
      <w:pPr>
        <w:spacing w:line="420" w:lineRule="exac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1）用于海缆制作的护套工序</w:t>
      </w:r>
      <w:bookmarkEnd w:id="3"/>
      <w:r>
        <w:rPr>
          <w:rFonts w:hint="eastAsia" w:asciiTheme="minorEastAsia" w:hAnsiTheme="minorEastAsia" w:eastAsiaTheme="minorEastAsia" w:cstheme="minorEastAsia"/>
          <w:szCs w:val="21"/>
          <w:lang w:bidi="ar-SA"/>
        </w:rPr>
        <w:t>；</w:t>
      </w:r>
    </w:p>
    <w:p w14:paraId="592391BF">
      <w:pPr>
        <w:spacing w:line="420" w:lineRule="exac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w:t>
      </w:r>
      <w:r>
        <w:rPr>
          <w:rFonts w:hint="eastAsia" w:asciiTheme="minorEastAsia" w:hAnsiTheme="minorEastAsia" w:eastAsiaTheme="minorEastAsia" w:cstheme="minorEastAsia"/>
          <w:szCs w:val="21"/>
        </w:rPr>
        <w:t>供方提供通讯接口，与1只32m成品转盘、1只25m半成品转盘要均能实现联动控制。</w:t>
      </w:r>
    </w:p>
    <w:p w14:paraId="50AE0D10">
      <w:pPr>
        <w:spacing w:line="420" w:lineRule="exac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2、主要技术参数</w:t>
      </w:r>
    </w:p>
    <w:p w14:paraId="47FDAA94">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挤塑材料：</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高密度聚乙烯（HDPE）、中密度聚乙烯（MDPE）</w:t>
      </w:r>
    </w:p>
    <w:p w14:paraId="179D3EB3">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螺杆直径：</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200mm+75mm</w:t>
      </w:r>
    </w:p>
    <w:p w14:paraId="548472EA">
      <w:pPr>
        <w:spacing w:line="420" w:lineRule="exact"/>
        <w:ind w:firstLine="283" w:firstLineChars="135"/>
        <w:rPr>
          <w:rFonts w:hint="eastAsia" w:asciiTheme="minorEastAsia" w:hAnsiTheme="minorEastAsia" w:eastAsiaTheme="minorEastAsia" w:cstheme="minorEastAsia"/>
          <w:szCs w:val="21"/>
          <w:highlight w:val="none"/>
          <w:lang w:bidi="ar-SA"/>
        </w:rPr>
      </w:pPr>
      <w:r>
        <w:rPr>
          <w:rFonts w:hint="eastAsia" w:asciiTheme="minorEastAsia" w:hAnsiTheme="minorEastAsia" w:eastAsiaTheme="minorEastAsia" w:cstheme="minorEastAsia"/>
          <w:szCs w:val="21"/>
          <w:lang w:bidi="ar-SA"/>
        </w:rPr>
        <w:t>最大出胶量       200机：150--850Kg/h    75机10-</w:t>
      </w:r>
      <w:r>
        <w:rPr>
          <w:rFonts w:hint="eastAsia" w:asciiTheme="minorEastAsia" w:hAnsiTheme="minorEastAsia" w:eastAsiaTheme="minorEastAsia" w:cstheme="minorEastAsia"/>
          <w:szCs w:val="21"/>
          <w:highlight w:val="none"/>
          <w:lang w:bidi="ar-SA"/>
        </w:rPr>
        <w:t>-80Kg/h</w:t>
      </w:r>
    </w:p>
    <w:p w14:paraId="37DB4265">
      <w:pPr>
        <w:spacing w:line="420" w:lineRule="exact"/>
        <w:ind w:firstLine="283" w:firstLineChars="135"/>
        <w:rPr>
          <w:rFonts w:hint="eastAsia" w:asciiTheme="minorEastAsia" w:hAnsiTheme="minorEastAsia" w:eastAsiaTheme="minorEastAsia" w:cstheme="minorEastAsia"/>
          <w:szCs w:val="21"/>
          <w:highlight w:val="none"/>
          <w:lang w:bidi="ar-SA"/>
        </w:rPr>
      </w:pPr>
      <w:r>
        <w:rPr>
          <w:rFonts w:hint="eastAsia" w:asciiTheme="minorEastAsia" w:hAnsiTheme="minorEastAsia" w:eastAsiaTheme="minorEastAsia" w:cstheme="minorEastAsia"/>
          <w:szCs w:val="21"/>
          <w:highlight w:val="none"/>
          <w:lang w:bidi="ar-SA"/>
        </w:rPr>
        <w:t>护套后外径：</w:t>
      </w:r>
      <w:r>
        <w:rPr>
          <w:rFonts w:hint="eastAsia" w:asciiTheme="minorEastAsia" w:hAnsiTheme="minorEastAsia" w:eastAsiaTheme="minorEastAsia" w:cstheme="minorEastAsia"/>
          <w:szCs w:val="21"/>
          <w:highlight w:val="none"/>
          <w:lang w:bidi="ar-SA"/>
        </w:rPr>
        <w:tab/>
      </w:r>
      <w:r>
        <w:rPr>
          <w:rFonts w:hint="eastAsia" w:asciiTheme="minorEastAsia" w:hAnsiTheme="minorEastAsia" w:eastAsiaTheme="minorEastAsia" w:cstheme="minorEastAsia"/>
          <w:szCs w:val="21"/>
          <w:highlight w:val="none"/>
          <w:lang w:bidi="ar-SA"/>
        </w:rPr>
        <w:tab/>
      </w:r>
      <w:r>
        <w:rPr>
          <w:rFonts w:hint="eastAsia" w:asciiTheme="minorEastAsia" w:hAnsiTheme="minorEastAsia" w:eastAsiaTheme="minorEastAsia" w:cstheme="minorEastAsia"/>
          <w:highlight w:val="none"/>
        </w:rPr>
        <w:t>Ф</w:t>
      </w:r>
      <w:r>
        <w:rPr>
          <w:rFonts w:hint="eastAsia" w:asciiTheme="minorEastAsia" w:hAnsiTheme="minorEastAsia" w:eastAsiaTheme="minorEastAsia" w:cstheme="minorEastAsia"/>
          <w:szCs w:val="21"/>
          <w:highlight w:val="none"/>
          <w:lang w:bidi="ar-SA"/>
        </w:rPr>
        <w:t>80-</w:t>
      </w:r>
      <w:r>
        <w:rPr>
          <w:rFonts w:hint="eastAsia" w:asciiTheme="minorEastAsia" w:hAnsiTheme="minorEastAsia" w:eastAsiaTheme="minorEastAsia" w:cstheme="minorEastAsia"/>
          <w:highlight w:val="none"/>
        </w:rPr>
        <w:t>Ф</w:t>
      </w:r>
      <w:r>
        <w:rPr>
          <w:rFonts w:hint="eastAsia" w:asciiTheme="minorEastAsia" w:hAnsiTheme="minorEastAsia" w:eastAsiaTheme="minorEastAsia" w:cstheme="minorEastAsia"/>
          <w:szCs w:val="21"/>
          <w:highlight w:val="none"/>
          <w:lang w:bidi="ar-SA"/>
        </w:rPr>
        <w:t>240</w:t>
      </w:r>
    </w:p>
    <w:p w14:paraId="233F6CD7">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生产线速度：</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max.10m/min</w:t>
      </w:r>
    </w:p>
    <w:p w14:paraId="410A9F2B">
      <w:pPr>
        <w:spacing w:line="420" w:lineRule="exact"/>
        <w:rPr>
          <w:rFonts w:hint="eastAsia" w:asciiTheme="minorEastAsia" w:hAnsiTheme="minorEastAsia" w:eastAsiaTheme="minorEastAsia" w:cstheme="minorEastAsia"/>
          <w:szCs w:val="21"/>
          <w:lang w:bidi="ar-SA"/>
        </w:rPr>
      </w:pPr>
    </w:p>
    <w:p w14:paraId="6C7E4E76">
      <w:pPr>
        <w:spacing w:line="420" w:lineRule="exac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3、生产线配置</w:t>
      </w:r>
      <w:r>
        <w:rPr>
          <w:rFonts w:hint="eastAsia" w:asciiTheme="minorEastAsia" w:hAnsiTheme="minorEastAsia" w:eastAsiaTheme="minorEastAsia" w:cstheme="minorEastAsia"/>
          <w:szCs w:val="21"/>
        </w:rPr>
        <w:t>，包括且不限于</w:t>
      </w:r>
      <w:r>
        <w:rPr>
          <w:rFonts w:hint="eastAsia" w:asciiTheme="minorEastAsia" w:hAnsiTheme="minorEastAsia" w:eastAsiaTheme="minorEastAsia" w:cstheme="minorEastAsia"/>
          <w:szCs w:val="21"/>
          <w:lang w:bidi="ar-SA"/>
        </w:rPr>
        <w:t>：</w:t>
      </w:r>
    </w:p>
    <w:p w14:paraId="114E8EE8">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1）4000Kg履带式气动牵引机（前牵引，已安装使用），1台</w:t>
      </w:r>
    </w:p>
    <w:p w14:paraId="40B5D786">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w:t>
      </w:r>
      <w:r>
        <w:rPr>
          <w:rFonts w:hint="eastAsia" w:asciiTheme="minorEastAsia" w:hAnsiTheme="minorEastAsia" w:eastAsiaTheme="minorEastAsia" w:cstheme="minorEastAsia"/>
        </w:rPr>
        <w:t>Ф200挤出机    1台</w:t>
      </w:r>
    </w:p>
    <w:p w14:paraId="17C1FD22">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3）</w:t>
      </w:r>
      <w:r>
        <w:rPr>
          <w:rFonts w:hint="eastAsia" w:asciiTheme="minorEastAsia" w:hAnsiTheme="minorEastAsia" w:eastAsiaTheme="minorEastAsia" w:cstheme="minorEastAsia"/>
        </w:rPr>
        <w:t>Ф75 挤出机     1台</w:t>
      </w:r>
    </w:p>
    <w:p w14:paraId="459BDF86">
      <w:pPr>
        <w:spacing w:line="420" w:lineRule="exact"/>
        <w:ind w:firstLine="283" w:firstLineChars="135"/>
        <w:rPr>
          <w:rFonts w:hint="eastAsia" w:asciiTheme="minorEastAsia" w:hAnsiTheme="minorEastAsia" w:eastAsiaTheme="minorEastAsia" w:cstheme="minorEastAsia"/>
          <w:szCs w:val="21"/>
          <w:lang w:bidi="ar-SA"/>
        </w:rPr>
      </w:pPr>
      <w:bookmarkStart w:id="5" w:name="_Hlk108601056"/>
      <w:r>
        <w:rPr>
          <w:rFonts w:hint="eastAsia" w:asciiTheme="minorEastAsia" w:hAnsiTheme="minorEastAsia" w:eastAsiaTheme="minorEastAsia" w:cstheme="minorEastAsia"/>
          <w:szCs w:val="21"/>
          <w:lang w:bidi="ar-SA"/>
        </w:rPr>
        <w:t>4）机头，1个单色输入，1个双色输入    2个</w:t>
      </w:r>
    </w:p>
    <w:p w14:paraId="3EC63304">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5）机头小车，2台</w:t>
      </w:r>
    </w:p>
    <w:bookmarkEnd w:id="5"/>
    <w:p w14:paraId="139357C6">
      <w:pPr>
        <w:spacing w:line="420" w:lineRule="exact"/>
        <w:ind w:firstLine="283" w:firstLineChars="135"/>
        <w:rPr>
          <w:rFonts w:hint="eastAsia" w:asciiTheme="minorEastAsia" w:hAnsiTheme="minorEastAsia" w:eastAsiaTheme="minorEastAsia" w:cstheme="minorEastAsia"/>
        </w:rPr>
      </w:pPr>
      <w:r>
        <w:rPr>
          <w:rFonts w:hint="eastAsia" w:asciiTheme="minorEastAsia" w:hAnsiTheme="minorEastAsia" w:eastAsiaTheme="minorEastAsia" w:cstheme="minorEastAsia"/>
          <w:szCs w:val="21"/>
          <w:lang w:bidi="ar-SA"/>
        </w:rPr>
        <w:t>6）自动烘干上料系统，带落地烘干，  2套</w:t>
      </w:r>
    </w:p>
    <w:p w14:paraId="55AA1EA9">
      <w:pPr>
        <w:spacing w:line="420" w:lineRule="exact"/>
        <w:ind w:firstLine="283" w:firstLineChars="135"/>
        <w:rPr>
          <w:rFonts w:hint="eastAsia" w:asciiTheme="minorEastAsia" w:hAnsiTheme="minorEastAsia" w:eastAsiaTheme="minorEastAsia" w:cstheme="minorEastAsia"/>
          <w:color w:val="7030A0"/>
          <w:szCs w:val="21"/>
          <w:lang w:bidi="ar-SA"/>
        </w:rPr>
      </w:pPr>
      <w:r>
        <w:rPr>
          <w:rFonts w:hint="eastAsia" w:asciiTheme="minorEastAsia" w:hAnsiTheme="minorEastAsia" w:eastAsiaTheme="minorEastAsia" w:cstheme="minorEastAsia"/>
        </w:rPr>
        <w:t>7）</w:t>
      </w:r>
      <w:r>
        <w:rPr>
          <w:rFonts w:hint="eastAsia" w:asciiTheme="minorEastAsia" w:hAnsiTheme="minorEastAsia" w:eastAsiaTheme="minorEastAsia" w:cstheme="minorEastAsia"/>
          <w:szCs w:val="21"/>
          <w:lang w:bidi="ar-SA"/>
        </w:rPr>
        <w:t>不锈钢水槽，1套</w:t>
      </w:r>
    </w:p>
    <w:p w14:paraId="6DD1E143">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8）4000Kg履带式气动牵引机（后牵引，已安装使用），1台</w:t>
      </w:r>
    </w:p>
    <w:p w14:paraId="308397D0">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9）电气控制、生产线同步控制系统，1套</w:t>
      </w:r>
    </w:p>
    <w:p w14:paraId="188B638F">
      <w:pPr>
        <w:spacing w:line="420" w:lineRule="exact"/>
        <w:rPr>
          <w:rFonts w:ascii="等线" w:hAnsi="等线" w:eastAsia="等线"/>
          <w:szCs w:val="21"/>
          <w:lang w:bidi="ar-SA"/>
        </w:rPr>
      </w:pPr>
    </w:p>
    <w:p w14:paraId="24DF7708">
      <w:pPr>
        <w:spacing w:line="420" w:lineRule="exact"/>
        <w:rPr>
          <w:rFonts w:hint="eastAsia" w:ascii="等线" w:hAnsi="等线" w:eastAsia="等线" w:cs="Courier New"/>
          <w:szCs w:val="21"/>
        </w:rPr>
      </w:pPr>
      <w:r>
        <w:rPr>
          <w:rFonts w:hint="eastAsia" w:ascii="等线" w:hAnsi="等线" w:eastAsia="等线" w:cs="Courier New"/>
          <w:szCs w:val="21"/>
        </w:rPr>
        <w:t>基本要求：</w:t>
      </w:r>
    </w:p>
    <w:p w14:paraId="688AE9D2">
      <w:pPr>
        <w:spacing w:line="420" w:lineRule="exact"/>
        <w:ind w:left="423" w:leftChars="134" w:hanging="142" w:hangingChars="68"/>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1）所供货的每一台设备均应有详细的配置和性能说明，分别具体描述，特别是项六招标方所列的技术要求应一一对应，明确应答。</w:t>
      </w:r>
    </w:p>
    <w:p w14:paraId="06550F06">
      <w:pPr>
        <w:spacing w:line="420" w:lineRule="exact"/>
        <w:ind w:firstLine="283" w:firstLineChars="13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2）明确有关重要部件的生产商。</w:t>
      </w:r>
    </w:p>
    <w:p w14:paraId="393A18A1">
      <w:pPr>
        <w:spacing w:line="420" w:lineRule="exact"/>
        <w:ind w:firstLine="283" w:firstLineChars="13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3）所供货的每一台设备应分别列出单价。</w:t>
      </w:r>
    </w:p>
    <w:p w14:paraId="54A15C70">
      <w:pPr>
        <w:spacing w:line="420" w:lineRule="exact"/>
        <w:ind w:firstLine="283" w:firstLineChars="13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4）备品备件及易损件应根据过去经验列出明细清单和价格。</w:t>
      </w:r>
    </w:p>
    <w:p w14:paraId="07722425">
      <w:pPr>
        <w:spacing w:line="420" w:lineRule="exact"/>
        <w:ind w:firstLine="283" w:firstLineChars="13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5）生产线在合同生效后3个月内交货。</w:t>
      </w:r>
    </w:p>
    <w:bookmarkEnd w:id="4"/>
    <w:p w14:paraId="696AF985">
      <w:pPr>
        <w:spacing w:line="420" w:lineRule="exact"/>
        <w:rPr>
          <w:rFonts w:hint="eastAsia" w:ascii="等线" w:hAnsi="等线" w:eastAsia="等线" w:cs="Courier New"/>
          <w:szCs w:val="21"/>
        </w:rPr>
      </w:pPr>
      <w:bookmarkStart w:id="6" w:name="_Hlk105317990"/>
    </w:p>
    <w:bookmarkEnd w:id="6"/>
    <w:p w14:paraId="437BA8CE">
      <w:pPr>
        <w:spacing w:line="420" w:lineRule="exact"/>
        <w:ind w:firstLine="284" w:firstLineChars="135"/>
        <w:rPr>
          <w:rFonts w:hint="eastAsia" w:ascii="等线" w:hAnsi="等线" w:eastAsia="等线" w:cs="Courier New"/>
          <w:szCs w:val="21"/>
        </w:rPr>
      </w:pPr>
      <w:r>
        <w:rPr>
          <w:rFonts w:hint="eastAsia" w:ascii="等线" w:hAnsi="等线" w:eastAsia="等线"/>
          <w:b/>
          <w:bCs/>
          <w:color w:val="0070C0"/>
          <w:szCs w:val="21"/>
          <w:lang w:bidi="ar-SA"/>
        </w:rPr>
        <w:t xml:space="preserve"> </w:t>
      </w:r>
    </w:p>
    <w:p w14:paraId="7DAEC487">
      <w:pPr>
        <w:spacing w:line="420" w:lineRule="exact"/>
        <w:ind w:left="540" w:hanging="540" w:hangingChars="257"/>
        <w:rPr>
          <w:rFonts w:ascii="等线" w:hAnsi="等线" w:eastAsia="等线"/>
          <w:b/>
          <w:bCs/>
          <w:color w:val="0070C0"/>
          <w:szCs w:val="21"/>
          <w:lang w:bidi="ar-SA"/>
        </w:rPr>
      </w:pPr>
      <w:r>
        <w:rPr>
          <w:rFonts w:hint="eastAsia" w:ascii="等线" w:hAnsi="等线" w:eastAsia="等线"/>
          <w:b/>
          <w:bCs/>
          <w:color w:val="0070C0"/>
          <w:szCs w:val="21"/>
          <w:lang w:val="en-US" w:eastAsia="zh-CN" w:bidi="ar-SA"/>
        </w:rPr>
        <w:t>四</w:t>
      </w:r>
      <w:r>
        <w:rPr>
          <w:rFonts w:hint="eastAsia" w:ascii="等线" w:hAnsi="等线" w:eastAsia="等线"/>
          <w:b/>
          <w:bCs/>
          <w:color w:val="0070C0"/>
          <w:szCs w:val="21"/>
          <w:lang w:bidi="ar-SA"/>
        </w:rPr>
        <w:t>、</w:t>
      </w:r>
      <w:bookmarkStart w:id="7" w:name="_Hlk105320980"/>
      <w:r>
        <w:rPr>
          <w:rFonts w:hint="eastAsia" w:ascii="等线" w:hAnsi="等线" w:eastAsia="等线"/>
          <w:b/>
          <w:bCs/>
          <w:color w:val="0070C0"/>
          <w:szCs w:val="21"/>
          <w:lang w:bidi="ar-SA"/>
        </w:rPr>
        <w:t>以上挤塑生产线相关技术</w:t>
      </w:r>
      <w:bookmarkStart w:id="8" w:name="_Hlk105320897"/>
      <w:r>
        <w:rPr>
          <w:rFonts w:hint="eastAsia" w:ascii="等线" w:hAnsi="等线" w:eastAsia="等线"/>
          <w:b/>
          <w:bCs/>
          <w:color w:val="0070C0"/>
          <w:szCs w:val="21"/>
          <w:lang w:bidi="ar-SA"/>
        </w:rPr>
        <w:t>要求</w:t>
      </w:r>
      <w:bookmarkEnd w:id="7"/>
      <w:r>
        <w:rPr>
          <w:rFonts w:hint="eastAsia" w:ascii="等线" w:hAnsi="等线" w:eastAsia="等线"/>
          <w:b/>
          <w:bCs/>
          <w:color w:val="0070C0"/>
          <w:szCs w:val="21"/>
          <w:lang w:bidi="ar-SA"/>
        </w:rPr>
        <w:t>，包括且不限于</w:t>
      </w:r>
      <w:bookmarkEnd w:id="8"/>
      <w:r>
        <w:rPr>
          <w:rFonts w:hint="eastAsia" w:ascii="等线" w:hAnsi="等线" w:eastAsia="等线"/>
          <w:b/>
          <w:bCs/>
          <w:color w:val="0070C0"/>
          <w:szCs w:val="21"/>
          <w:lang w:bidi="ar-SA"/>
        </w:rPr>
        <w:t>：</w:t>
      </w:r>
    </w:p>
    <w:p w14:paraId="23549F8F">
      <w:pPr>
        <w:spacing w:line="420" w:lineRule="exact"/>
        <w:ind w:left="282" w:leftChars="134" w:hanging="1"/>
        <w:rPr>
          <w:rFonts w:ascii="等线" w:hAnsi="等线" w:eastAsia="等线" w:cs="Courier New"/>
          <w:b/>
          <w:bCs/>
          <w:szCs w:val="21"/>
        </w:rPr>
      </w:pPr>
      <w:r>
        <w:rPr>
          <w:rFonts w:ascii="等线" w:hAnsi="等线" w:eastAsia="等线" w:cs="Courier New"/>
          <w:b/>
          <w:bCs/>
          <w:color w:val="7030A0"/>
          <w:szCs w:val="21"/>
        </w:rPr>
        <w:t>1</w:t>
      </w:r>
      <w:r>
        <w:rPr>
          <w:rFonts w:hint="eastAsia" w:ascii="等线" w:hAnsi="等线" w:eastAsia="等线" w:cs="Courier New"/>
          <w:b/>
          <w:bCs/>
          <w:color w:val="7030A0"/>
          <w:szCs w:val="21"/>
        </w:rPr>
        <w:t>、挤塑机、机头</w:t>
      </w:r>
      <w:r>
        <w:rPr>
          <w:rFonts w:hint="eastAsia" w:ascii="等线" w:hAnsi="等线" w:eastAsia="等线" w:cs="Courier New"/>
          <w:b/>
          <w:bCs/>
          <w:szCs w:val="21"/>
        </w:rPr>
        <w:t>：</w:t>
      </w:r>
    </w:p>
    <w:p w14:paraId="2A2ABDB0">
      <w:pPr>
        <w:spacing w:line="420" w:lineRule="exact"/>
        <w:ind w:left="282" w:leftChars="134"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1）明确挤塑机各种材料在机头闭合时的最大出胶量。</w:t>
      </w:r>
    </w:p>
    <w:p w14:paraId="20A945F6">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机头流道、模具设计合理。在正常挤塑过程中，不得产生老胶或塑化不良、合胶缝等非正常现象；挤塑机在低速、高速或升、降速过程中，挤塑机出胶量与螺杆转速成正常线性关系，且挤塑产品偏心度可调可控，满足工艺要求。</w:t>
      </w:r>
    </w:p>
    <w:p w14:paraId="21CC842E">
      <w:pPr>
        <w:spacing w:line="420" w:lineRule="exact"/>
        <w:ind w:left="-2" w:leftChars="-1" w:firstLine="247" w:firstLineChars="118"/>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3）齿轮箱采用SEW品牌，螺杆与齿轮箱采用花键连接方式。</w:t>
      </w:r>
    </w:p>
    <w:p w14:paraId="59485A71">
      <w:pPr>
        <w:spacing w:line="420" w:lineRule="exact"/>
        <w:ind w:left="-2" w:leftChars="-1" w:firstLine="247" w:firstLineChars="118"/>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4）挤塑机控制面板上除用温控表显示每区温度外，每区还需配备电流表；机身采用铸铝加热方式。</w:t>
      </w:r>
    </w:p>
    <w:p w14:paraId="1AEE8A8D">
      <w:pPr>
        <w:spacing w:line="420" w:lineRule="exact"/>
        <w:ind w:left="282" w:leftChars="134"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5）每台挤塑机应提供1套螺杆拆卸工具。每只机头配1只移动小车、1套机头拆装工具。每台挤塑机配1套抽真空装置（含连接管、接头、真空泵等）。</w:t>
      </w:r>
    </w:p>
    <w:p w14:paraId="2F481135">
      <w:pPr>
        <w:spacing w:line="420" w:lineRule="exact"/>
        <w:ind w:left="282" w:leftChars="134"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6）上料斗进料口配有磁力架，防铁件掉入料筒内。</w:t>
      </w:r>
    </w:p>
    <w:p w14:paraId="5A194114">
      <w:pPr>
        <w:spacing w:line="420" w:lineRule="exact"/>
        <w:ind w:left="282" w:leftChars="134"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7）机头及流道加热瓦电源线在加热瓦上为固定连接。</w:t>
      </w:r>
    </w:p>
    <w:p w14:paraId="49AF9930">
      <w:pPr>
        <w:spacing w:line="420" w:lineRule="exact"/>
        <w:ind w:left="282" w:leftChars="134" w:hanging="1"/>
        <w:rPr>
          <w:rFonts w:hint="eastAsia" w:asciiTheme="minorEastAsia" w:hAnsiTheme="minorEastAsia" w:eastAsiaTheme="minorEastAsia" w:cstheme="minorEastAsia"/>
          <w:szCs w:val="21"/>
        </w:rPr>
      </w:pPr>
    </w:p>
    <w:p w14:paraId="520B3D3A">
      <w:pPr>
        <w:spacing w:line="420" w:lineRule="exact"/>
        <w:ind w:left="284" w:leftChars="135" w:hanging="1"/>
        <w:rPr>
          <w:rFonts w:ascii="等线" w:hAnsi="等线" w:eastAsia="等线" w:cs="Courier New"/>
          <w:b/>
          <w:bCs/>
          <w:color w:val="7030A0"/>
          <w:szCs w:val="21"/>
        </w:rPr>
      </w:pPr>
      <w:r>
        <w:rPr>
          <w:rFonts w:ascii="等线" w:hAnsi="等线" w:eastAsia="等线" w:cs="Courier New"/>
          <w:b/>
          <w:bCs/>
          <w:color w:val="7030A0"/>
          <w:szCs w:val="21"/>
        </w:rPr>
        <w:t>2</w:t>
      </w:r>
      <w:r>
        <w:rPr>
          <w:rFonts w:hint="eastAsia" w:ascii="等线" w:hAnsi="等线" w:eastAsia="等线" w:cs="Courier New"/>
          <w:b/>
          <w:bCs/>
          <w:color w:val="7030A0"/>
          <w:szCs w:val="21"/>
        </w:rPr>
        <w:t>、冷却水槽部分：</w:t>
      </w:r>
    </w:p>
    <w:p w14:paraId="57EA6F81">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1）水槽含4米长恒温水槽，可伸缩移动约0.8m，并带有1立方米的热水箱和温水循环装置。</w:t>
      </w:r>
    </w:p>
    <w:p w14:paraId="1F6BE9D5">
      <w:pPr>
        <w:spacing w:line="420" w:lineRule="exact"/>
        <w:ind w:left="284" w:leftChars="135" w:hanging="1"/>
        <w:rPr>
          <w:rFonts w:hint="eastAsia" w:asciiTheme="minorEastAsia" w:hAnsiTheme="minorEastAsia" w:eastAsiaTheme="minorEastAsia" w:cstheme="minorEastAsia"/>
          <w:color w:val="FF0000"/>
          <w:szCs w:val="21"/>
          <w:highlight w:val="none"/>
        </w:rPr>
      </w:pPr>
      <w:r>
        <w:rPr>
          <w:rFonts w:hint="eastAsia" w:asciiTheme="minorEastAsia" w:hAnsiTheme="minorEastAsia" w:eastAsiaTheme="minorEastAsia" w:cstheme="minorEastAsia"/>
          <w:szCs w:val="21"/>
        </w:rPr>
        <w:t>2）水槽均采用SUS304不锈钢材料制作，挤塑机水槽主体材料厚度不小于3.0mm。水槽内设支撑尼龙导轮，导轮轴为不锈钢材料，升降可调节。供方提供水槽支撑架。</w:t>
      </w:r>
      <w:r>
        <w:rPr>
          <w:rFonts w:hint="eastAsia" w:asciiTheme="minorEastAsia" w:hAnsiTheme="minorEastAsia" w:eastAsiaTheme="minorEastAsia" w:cstheme="minorEastAsia"/>
          <w:color w:val="FF0000"/>
          <w:szCs w:val="21"/>
          <w:highlight w:val="none"/>
        </w:rPr>
        <w:t>与现有水槽不贯通，给排水需通过软管连接至原有给排水管道上。</w:t>
      </w:r>
    </w:p>
    <w:p w14:paraId="6CD0963A">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3）水槽上方配有电缆引线装置，装置由立柱、移动小车、导轨组成，引线时电缆头固定在小车上，小车在导轨上移动并带动电缆移动。</w:t>
      </w:r>
      <w:r>
        <w:rPr>
          <w:rFonts w:hint="eastAsia" w:asciiTheme="minorEastAsia" w:hAnsiTheme="minorEastAsia" w:eastAsiaTheme="minorEastAsia" w:cstheme="minorEastAsia"/>
          <w:color w:val="FF0000"/>
          <w:szCs w:val="21"/>
          <w:highlight w:val="none"/>
        </w:rPr>
        <w:t>与原有装置联通。</w:t>
      </w:r>
    </w:p>
    <w:p w14:paraId="31429859">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4）根据安装位置配备不锈钢水槽，水槽为可拆卸式，在铅塑联动生产时移走。</w:t>
      </w:r>
    </w:p>
    <w:p w14:paraId="72800FE6">
      <w:pPr>
        <w:spacing w:line="420" w:lineRule="exact"/>
        <w:ind w:left="284" w:leftChars="135" w:hanging="1"/>
        <w:rPr>
          <w:rFonts w:hint="eastAsia" w:asciiTheme="minorEastAsia" w:hAnsiTheme="minorEastAsia" w:eastAsiaTheme="minorEastAsia" w:cstheme="minorEastAsia"/>
          <w:szCs w:val="21"/>
        </w:rPr>
      </w:pPr>
    </w:p>
    <w:p w14:paraId="6F741B04">
      <w:pPr>
        <w:spacing w:line="420" w:lineRule="exact"/>
        <w:ind w:left="284" w:leftChars="135" w:hanging="1"/>
        <w:rPr>
          <w:rFonts w:ascii="等线" w:hAnsi="等线" w:eastAsia="等线" w:cs="Courier New"/>
          <w:b/>
          <w:bCs/>
          <w:szCs w:val="21"/>
        </w:rPr>
      </w:pPr>
      <w:r>
        <w:rPr>
          <w:rFonts w:ascii="等线" w:hAnsi="等线" w:eastAsia="等线" w:cs="Courier New"/>
          <w:b/>
          <w:bCs/>
          <w:color w:val="7030A0"/>
          <w:szCs w:val="21"/>
        </w:rPr>
        <w:t>3</w:t>
      </w:r>
      <w:r>
        <w:rPr>
          <w:rFonts w:hint="eastAsia" w:ascii="等线" w:hAnsi="等线" w:eastAsia="等线" w:cs="Courier New"/>
          <w:b/>
          <w:bCs/>
          <w:color w:val="7030A0"/>
          <w:szCs w:val="21"/>
        </w:rPr>
        <w:t>、电控部分</w:t>
      </w:r>
      <w:r>
        <w:rPr>
          <w:rFonts w:hint="eastAsia" w:ascii="等线" w:hAnsi="等线" w:eastAsia="等线" w:cs="Courier New"/>
          <w:b/>
          <w:bCs/>
          <w:szCs w:val="21"/>
        </w:rPr>
        <w:t>：</w:t>
      </w:r>
    </w:p>
    <w:p w14:paraId="349D9FA2">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1）电柜采用仿威图结构，电柜、控制柜柜体面板采用2mm厚冷轧钢板，表面除锈、喷塑处理，电控柜长度小于4.8米。</w:t>
      </w:r>
    </w:p>
    <w:p w14:paraId="10E76541">
      <w:pPr>
        <w:spacing w:line="420" w:lineRule="exact"/>
        <w:ind w:left="284" w:leftChars="135" w:hanging="1"/>
        <w:rPr>
          <w:rFonts w:hint="eastAsia" w:asciiTheme="minorEastAsia" w:hAnsiTheme="minorEastAsia" w:eastAsiaTheme="minorEastAsia" w:cstheme="minorEastAsia"/>
          <w:color w:val="FF0000"/>
          <w:szCs w:val="21"/>
          <w:highlight w:val="none"/>
        </w:rPr>
      </w:pPr>
      <w:r>
        <w:rPr>
          <w:rFonts w:hint="eastAsia" w:asciiTheme="minorEastAsia" w:hAnsiTheme="minorEastAsia" w:eastAsiaTheme="minorEastAsia" w:cstheme="minorEastAsia"/>
          <w:szCs w:val="21"/>
        </w:rPr>
        <w:t>2）电控柜内应配置合适的冷却风扇或机柜空调，并配备合适的冷却风道，确保设备质保期内在最高环境温度（42℃），设备长期正常运转时，柜内控制器、电气元件不会在柜门关闭的情况下跳停或烧损。带门控灯和维修插座（5孔），插座带漏电保护，电柜底部橡胶垫封闭，防护等级IP54，电柜进出线方式为下进下出，电控柜元器件及接线端子距柜底高度距离必须大于300mm。</w:t>
      </w:r>
      <w:r>
        <w:rPr>
          <w:rFonts w:hint="eastAsia" w:asciiTheme="minorEastAsia" w:hAnsiTheme="minorEastAsia" w:eastAsiaTheme="minorEastAsia" w:cstheme="minorEastAsia"/>
          <w:color w:val="FF0000"/>
          <w:szCs w:val="21"/>
          <w:highlight w:val="none"/>
        </w:rPr>
        <w:t>配置的交换机要有多余端口，方便电脑联机检修。</w:t>
      </w:r>
    </w:p>
    <w:p w14:paraId="010933B3">
      <w:pPr>
        <w:spacing w:line="420" w:lineRule="exact"/>
        <w:ind w:left="284" w:leftChars="135" w:hanging="1"/>
        <w:rPr>
          <w:rFonts w:hint="eastAsia" w:asciiTheme="minorEastAsia" w:hAnsiTheme="minorEastAsia" w:eastAsiaTheme="minorEastAsia" w:cstheme="minorEastAsia"/>
          <w:color w:val="FF0000"/>
          <w:szCs w:val="21"/>
          <w:highlight w:val="none"/>
        </w:rPr>
      </w:pPr>
      <w:r>
        <w:rPr>
          <w:rFonts w:hint="eastAsia" w:asciiTheme="minorEastAsia" w:hAnsiTheme="minorEastAsia" w:eastAsiaTheme="minorEastAsia" w:cstheme="minorEastAsia"/>
          <w:szCs w:val="21"/>
        </w:rPr>
        <w:t>3）设备上配置的电机，不得采用国家明令要求淘汰或限制使用的高能耗电机，采用1级能效电机，</w:t>
      </w:r>
      <w:r>
        <w:rPr>
          <w:rFonts w:hint="eastAsia" w:asciiTheme="minorEastAsia" w:hAnsiTheme="minorEastAsia" w:eastAsiaTheme="minorEastAsia" w:cstheme="minorEastAsia"/>
          <w:color w:val="FF0000"/>
          <w:szCs w:val="21"/>
          <w:highlight w:val="none"/>
        </w:rPr>
        <w:t>主变频电机选用西门子贝德产品。</w:t>
      </w:r>
    </w:p>
    <w:p w14:paraId="68F8CEB9">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4）未经需方同意，供方不得在供货设备控制系统中设置任何时间密码。</w:t>
      </w:r>
    </w:p>
    <w:p w14:paraId="6098B165">
      <w:pPr>
        <w:spacing w:line="420" w:lineRule="exact"/>
        <w:ind w:left="284" w:leftChars="135" w:hanging="1"/>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5）设备人机界面触摸屏需预留米重落料系统、MES终端显示系统的展示页面，并预留与以上设备的对接通讯接口，在以上设备需使用时，可以随时连接安装程序使用，并将收集后的运行数据传送至SCADA系统。</w:t>
      </w:r>
    </w:p>
    <w:p w14:paraId="6B878BD0">
      <w:pPr>
        <w:widowControl/>
        <w:spacing w:line="520" w:lineRule="exact"/>
        <w:ind w:firstLine="247" w:firstLineChars="118"/>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6）电控部分需与原有的120挤塑机系统兼容，控制牵引速度。</w:t>
      </w:r>
    </w:p>
    <w:p w14:paraId="0345B46E">
      <w:pPr>
        <w:widowControl/>
        <w:spacing w:line="520" w:lineRule="exact"/>
        <w:ind w:firstLine="247" w:firstLineChars="118"/>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200+75机的主机驱动及加热系统，各采用2路不同电源分开供电，需分别配置主电源柜（柜内安装地排和零排，铜排材质：电工用铜排；铜排截面是相线截面积的一半，长度不小于50cm）。为解决多拼动力电缆进柜后敷设接线困难和电缆线芯与柜内元器件及柜顶的安全距离，这两个电柜要设有进线主电缆舱，在其总断路器上桩头引出合适截面及长度的铜排（满足载流量要求），以方便接主电缆。所有电气柜内配置的母排均要求是电工用铜母排。</w:t>
      </w:r>
    </w:p>
    <w:p w14:paraId="624C53C3">
      <w:pPr>
        <w:widowControl/>
        <w:spacing w:line="520" w:lineRule="exact"/>
        <w:ind w:firstLine="247" w:firstLineChars="118"/>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8）开关选用西门子产品，变频器选用</w:t>
      </w:r>
      <w:r>
        <w:rPr>
          <w:rFonts w:hint="eastAsia" w:asciiTheme="minorEastAsia" w:hAnsiTheme="minorEastAsia" w:eastAsiaTheme="minorEastAsia" w:cstheme="minorEastAsia"/>
          <w:color w:val="FF0000"/>
          <w:szCs w:val="21"/>
          <w:highlight w:val="none"/>
        </w:rPr>
        <w:t>丹弗斯302系列</w:t>
      </w:r>
      <w:r>
        <w:rPr>
          <w:rFonts w:hint="eastAsia" w:asciiTheme="minorEastAsia" w:hAnsiTheme="minorEastAsia" w:eastAsiaTheme="minorEastAsia" w:cstheme="minorEastAsia"/>
          <w:szCs w:val="21"/>
        </w:rPr>
        <w:t>产品，PLC选用西门子S7系列。</w:t>
      </w:r>
    </w:p>
    <w:p w14:paraId="66DC03BA">
      <w:pPr>
        <w:widowControl/>
        <w:spacing w:line="520" w:lineRule="exact"/>
        <w:ind w:firstLine="247" w:firstLineChars="118"/>
        <w:jc w:val="left"/>
        <w:rPr>
          <w:rFonts w:hint="eastAsia" w:asciiTheme="minorEastAsia" w:hAnsiTheme="minorEastAsia" w:eastAsiaTheme="minorEastAsia" w:cstheme="minorEastAsia"/>
          <w:color w:val="FF0000"/>
          <w:szCs w:val="21"/>
          <w:highlight w:val="none"/>
        </w:rPr>
      </w:pPr>
      <w:r>
        <w:rPr>
          <w:rFonts w:hint="eastAsia" w:asciiTheme="minorEastAsia" w:hAnsiTheme="minorEastAsia" w:eastAsiaTheme="minorEastAsia" w:cstheme="minorEastAsia"/>
          <w:szCs w:val="21"/>
        </w:rPr>
        <w:t>9）</w:t>
      </w:r>
      <w:r>
        <w:rPr>
          <w:rFonts w:hint="eastAsia" w:asciiTheme="minorEastAsia" w:hAnsiTheme="minorEastAsia" w:eastAsiaTheme="minorEastAsia" w:cstheme="minorEastAsia"/>
          <w:color w:val="FF0000"/>
          <w:szCs w:val="21"/>
          <w:highlight w:val="none"/>
        </w:rPr>
        <w:t>满足不增加电柜尺寸的情况下，实现220+75挤塑机各关键数据的历史记录调取查看，至少需要2个</w:t>
      </w:r>
    </w:p>
    <w:p w14:paraId="169104AB">
      <w:pPr>
        <w:widowControl/>
        <w:spacing w:line="520" w:lineRule="exact"/>
        <w:ind w:firstLine="247" w:firstLineChars="118"/>
        <w:jc w:val="left"/>
        <w:rPr>
          <w:rFonts w:hint="eastAsia" w:asciiTheme="minorEastAsia" w:hAnsiTheme="minorEastAsia" w:eastAsiaTheme="minorEastAsia" w:cstheme="minorEastAsia"/>
          <w:color w:val="FF0000"/>
          <w:szCs w:val="21"/>
          <w:highlight w:val="none"/>
        </w:rPr>
      </w:pPr>
      <w:r>
        <w:rPr>
          <w:rFonts w:hint="eastAsia" w:asciiTheme="minorEastAsia" w:hAnsiTheme="minorEastAsia" w:eastAsiaTheme="minorEastAsia" w:cstheme="minorEastAsia"/>
          <w:color w:val="FF0000"/>
          <w:szCs w:val="21"/>
          <w:highlight w:val="none"/>
        </w:rPr>
        <w:t>月的所有关键数据的历史记录保存及调取。</w:t>
      </w:r>
    </w:p>
    <w:p w14:paraId="12DB6DCE">
      <w:pPr>
        <w:spacing w:line="420" w:lineRule="exact"/>
        <w:ind w:firstLine="283" w:firstLineChars="135"/>
        <w:rPr>
          <w:rFonts w:hint="eastAsia" w:ascii="等线" w:hAnsi="等线" w:eastAsia="等线" w:cs="Courier New"/>
          <w:szCs w:val="21"/>
        </w:rPr>
      </w:pPr>
      <w:r>
        <w:rPr>
          <w:rFonts w:ascii="等线" w:hAnsi="等线" w:eastAsia="等线" w:cs="Courier New"/>
          <w:color w:val="7030A0"/>
          <w:szCs w:val="21"/>
        </w:rPr>
        <w:t xml:space="preserve"> </w:t>
      </w:r>
    </w:p>
    <w:p w14:paraId="5C92B2C0">
      <w:pPr>
        <w:spacing w:line="420" w:lineRule="exact"/>
        <w:ind w:firstLine="284" w:firstLineChars="135"/>
        <w:jc w:val="left"/>
        <w:rPr>
          <w:rFonts w:ascii="等线" w:hAnsi="等线" w:eastAsia="等线"/>
          <w:b/>
          <w:bCs/>
          <w:szCs w:val="21"/>
          <w:lang w:bidi="ar-SA"/>
        </w:rPr>
      </w:pPr>
      <w:r>
        <w:rPr>
          <w:rFonts w:hint="eastAsia" w:ascii="等线" w:hAnsi="等线" w:eastAsia="等线" w:cs="Courier New"/>
          <w:b/>
          <w:bCs/>
          <w:color w:val="7030A0"/>
          <w:szCs w:val="21"/>
          <w:lang w:val="en-US" w:eastAsia="zh-CN"/>
        </w:rPr>
        <w:t>4</w:t>
      </w:r>
      <w:r>
        <w:rPr>
          <w:rFonts w:hint="eastAsia" w:ascii="等线" w:hAnsi="等线" w:eastAsia="等线" w:cs="Courier New"/>
          <w:b/>
          <w:bCs/>
          <w:color w:val="7030A0"/>
          <w:szCs w:val="21"/>
        </w:rPr>
        <w:t>、设备颜色</w:t>
      </w:r>
      <w:r>
        <w:rPr>
          <w:rFonts w:hint="eastAsia" w:ascii="等线" w:hAnsi="等线" w:eastAsia="等线"/>
          <w:b/>
          <w:bCs/>
          <w:szCs w:val="21"/>
          <w:lang w:bidi="ar-SA"/>
        </w:rPr>
        <w:t>：</w:t>
      </w:r>
    </w:p>
    <w:p w14:paraId="109638FA">
      <w:pPr>
        <w:spacing w:line="420" w:lineRule="exact"/>
        <w:ind w:firstLine="283" w:firstLineChars="135"/>
        <w:jc w:val="left"/>
        <w:rPr>
          <w:rFonts w:hint="eastAsia" w:ascii="等线" w:hAnsi="等线" w:eastAsia="等线"/>
          <w:szCs w:val="21"/>
          <w:lang w:bidi="ar-SA"/>
        </w:rPr>
      </w:pPr>
      <w:r>
        <w:rPr>
          <w:rFonts w:hint="eastAsia" w:asciiTheme="minorEastAsia" w:hAnsiTheme="minorEastAsia" w:eastAsiaTheme="minorEastAsia" w:cstheme="minorEastAsia"/>
          <w:szCs w:val="21"/>
          <w:lang w:bidi="ar-SA"/>
        </w:rPr>
        <w:t>1）主体部位油漆颜色为中蓝色RAL5015；旋转部位油漆颜色为交通红RAL3020；设备防护罩及其它旋转部件防护罩油漆颜色为桔黄色RAL1028；电控柜油漆颜色为灰色RAL7035。</w:t>
      </w:r>
    </w:p>
    <w:p w14:paraId="14BA8751">
      <w:pPr>
        <w:spacing w:line="420" w:lineRule="exact"/>
        <w:ind w:firstLine="283" w:firstLineChars="135"/>
        <w:jc w:val="left"/>
        <w:rPr>
          <w:rFonts w:hint="eastAsia" w:ascii="等线" w:hAnsi="等线" w:eastAsia="等线"/>
          <w:szCs w:val="21"/>
          <w:lang w:bidi="ar-SA"/>
        </w:rPr>
      </w:pPr>
    </w:p>
    <w:p w14:paraId="4BF676D9">
      <w:pPr>
        <w:spacing w:line="420" w:lineRule="exact"/>
        <w:ind w:firstLine="284" w:firstLineChars="135"/>
        <w:jc w:val="left"/>
        <w:rPr>
          <w:rFonts w:ascii="等线" w:hAnsi="等线" w:eastAsia="等线"/>
          <w:b/>
          <w:bCs/>
          <w:szCs w:val="21"/>
          <w:lang w:bidi="ar-SA"/>
        </w:rPr>
      </w:pPr>
      <w:r>
        <w:rPr>
          <w:rFonts w:hint="eastAsia" w:ascii="等线" w:hAnsi="等线" w:eastAsia="等线" w:cs="Courier New"/>
          <w:b/>
          <w:bCs/>
          <w:color w:val="7030A0"/>
          <w:szCs w:val="21"/>
          <w:lang w:val="en-US" w:eastAsia="zh-CN"/>
        </w:rPr>
        <w:t>5</w:t>
      </w:r>
      <w:r>
        <w:rPr>
          <w:rFonts w:hint="eastAsia" w:ascii="等线" w:hAnsi="等线" w:eastAsia="等线" w:cs="Courier New"/>
          <w:b/>
          <w:bCs/>
          <w:color w:val="7030A0"/>
          <w:szCs w:val="21"/>
        </w:rPr>
        <w:t>、</w:t>
      </w:r>
      <w:r>
        <w:rPr>
          <w:rFonts w:hint="eastAsia" w:ascii="等线" w:hAnsi="等线" w:eastAsia="等线"/>
          <w:b/>
          <w:bCs/>
          <w:color w:val="7030A0"/>
          <w:szCs w:val="21"/>
          <w:lang w:bidi="ar-SA"/>
        </w:rPr>
        <w:t>生产线信息化采集与汇总</w:t>
      </w:r>
      <w:r>
        <w:rPr>
          <w:rFonts w:hint="eastAsia" w:ascii="等线" w:hAnsi="等线" w:eastAsia="等线"/>
          <w:b/>
          <w:bCs/>
          <w:szCs w:val="21"/>
          <w:lang w:bidi="ar-SA"/>
        </w:rPr>
        <w:t>：</w:t>
      </w:r>
    </w:p>
    <w:p w14:paraId="6A780294">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设备</w:t>
      </w:r>
      <w:bookmarkStart w:id="9" w:name="_Hlk101340058"/>
      <w:r>
        <w:rPr>
          <w:rFonts w:hint="eastAsia" w:asciiTheme="minorEastAsia" w:hAnsiTheme="minorEastAsia" w:eastAsiaTheme="minorEastAsia" w:cstheme="minorEastAsia"/>
          <w:szCs w:val="21"/>
          <w:lang w:bidi="ar-SA"/>
        </w:rPr>
        <w:t>操作系统应具有设备运行、维护及各种能耗参数，工艺、品质及在线测量控制参数，生产运行与物料消耗参数等数据收集、显示、控制、分析、储存功能，可以与工厂管理MES系统互联（MES系统接口：网口或串口；开放通讯协议）</w:t>
      </w:r>
      <w:bookmarkEnd w:id="9"/>
      <w:r>
        <w:rPr>
          <w:rFonts w:hint="eastAsia" w:asciiTheme="minorEastAsia" w:hAnsiTheme="minorEastAsia" w:eastAsiaTheme="minorEastAsia" w:cstheme="minorEastAsia"/>
          <w:szCs w:val="21"/>
          <w:lang w:bidi="ar-SA"/>
        </w:rPr>
        <w:t>。</w:t>
      </w:r>
    </w:p>
    <w:p w14:paraId="1948E4B9">
      <w:pPr>
        <w:spacing w:line="420" w:lineRule="exact"/>
        <w:ind w:firstLine="285" w:firstLineChars="135"/>
        <w:rPr>
          <w:rFonts w:hint="eastAsia" w:asciiTheme="minorEastAsia" w:hAnsiTheme="minorEastAsia" w:eastAsiaTheme="minorEastAsia" w:cstheme="minorEastAsia"/>
          <w:b/>
          <w:bCs/>
          <w:color w:val="7030A0"/>
          <w:szCs w:val="21"/>
        </w:rPr>
      </w:pPr>
      <w:r>
        <w:rPr>
          <w:rFonts w:hint="eastAsia" w:asciiTheme="minorEastAsia" w:hAnsiTheme="minorEastAsia" w:eastAsiaTheme="minorEastAsia" w:cstheme="minorEastAsia"/>
          <w:b/>
          <w:bCs/>
          <w:color w:val="7030A0"/>
          <w:szCs w:val="21"/>
          <w:lang w:val="en-US" w:eastAsia="zh-CN"/>
        </w:rPr>
        <w:t>6</w:t>
      </w:r>
      <w:r>
        <w:rPr>
          <w:rFonts w:hint="eastAsia" w:asciiTheme="minorEastAsia" w:hAnsiTheme="minorEastAsia" w:eastAsiaTheme="minorEastAsia" w:cstheme="minorEastAsia"/>
          <w:b/>
          <w:bCs/>
          <w:color w:val="7030A0"/>
          <w:szCs w:val="21"/>
        </w:rPr>
        <w:t>、安全防护要求：</w:t>
      </w:r>
    </w:p>
    <w:p w14:paraId="44430A97">
      <w:pPr>
        <w:spacing w:line="420" w:lineRule="exact"/>
        <w:ind w:firstLine="283" w:firstLineChars="135"/>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1）应在存在设备安全隐患的部位贴上醒目的安全提示标识；整机设备配备紧急停车装置或按钮，出现紧急问题可快速停机。</w:t>
      </w:r>
    </w:p>
    <w:p w14:paraId="332CFAD7">
      <w:pPr>
        <w:spacing w:line="420" w:lineRule="exact"/>
        <w:ind w:firstLine="283" w:firstLineChars="135"/>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lang w:bidi="ar-SA"/>
        </w:rPr>
        <w:t>2）凡传动、转动部分均应配有安全防护罩(裸露部分应全覆盖)。</w:t>
      </w:r>
    </w:p>
    <w:p w14:paraId="654E9E81">
      <w:pPr>
        <w:spacing w:line="420" w:lineRule="exact"/>
        <w:ind w:firstLine="283" w:firstLineChars="135"/>
        <w:rPr>
          <w:rFonts w:ascii="等线" w:hAnsi="等线" w:eastAsia="等线" w:cs="Courier New"/>
          <w:szCs w:val="21"/>
        </w:rPr>
      </w:pPr>
    </w:p>
    <w:p w14:paraId="752BCA05">
      <w:pPr>
        <w:spacing w:line="420" w:lineRule="exact"/>
        <w:jc w:val="left"/>
        <w:rPr>
          <w:rFonts w:hint="eastAsia" w:ascii="等线" w:hAnsi="等线" w:eastAsia="等线"/>
          <w:b/>
          <w:bCs/>
          <w:color w:val="0070C0"/>
          <w:szCs w:val="21"/>
          <w:lang w:bidi="ar-SA"/>
        </w:rPr>
      </w:pPr>
      <w:r>
        <w:rPr>
          <w:rFonts w:hint="eastAsia" w:ascii="等线" w:hAnsi="等线" w:eastAsia="等线"/>
          <w:b/>
          <w:bCs/>
          <w:color w:val="0070C0"/>
          <w:szCs w:val="21"/>
          <w:lang w:val="en-US" w:eastAsia="zh-CN" w:bidi="ar-SA"/>
        </w:rPr>
        <w:t>五</w:t>
      </w:r>
      <w:r>
        <w:rPr>
          <w:rFonts w:hint="eastAsia" w:ascii="等线" w:hAnsi="等线" w:eastAsia="等线"/>
          <w:b/>
          <w:bCs/>
          <w:color w:val="0070C0"/>
          <w:szCs w:val="21"/>
          <w:lang w:bidi="ar-SA"/>
        </w:rPr>
        <w:t>、招标设备的供电、压缩空气、环境温度等参数</w:t>
      </w:r>
    </w:p>
    <w:p w14:paraId="04A1662B">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1、电：</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三相五线制</w:t>
      </w:r>
      <w:r>
        <w:rPr>
          <w:rFonts w:hint="eastAsia" w:asciiTheme="minorEastAsia" w:hAnsiTheme="minorEastAsia" w:eastAsiaTheme="minorEastAsia" w:cstheme="minorEastAsia"/>
          <w:szCs w:val="21"/>
          <w:lang w:bidi="ar-SA"/>
        </w:rPr>
        <w:tab/>
      </w:r>
    </w:p>
    <w:p w14:paraId="0237A170">
      <w:pPr>
        <w:spacing w:line="420" w:lineRule="exact"/>
        <w:ind w:left="424" w:leftChars="202" w:firstLine="189" w:firstLineChars="90"/>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电压</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3×400V</w:t>
      </w:r>
    </w:p>
    <w:p w14:paraId="3618EB68">
      <w:pPr>
        <w:spacing w:line="420" w:lineRule="exact"/>
        <w:ind w:left="424" w:leftChars="202" w:firstLine="189" w:firstLineChars="90"/>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电压波动</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±10%</w:t>
      </w:r>
    </w:p>
    <w:p w14:paraId="6DCB539D">
      <w:pPr>
        <w:spacing w:line="420" w:lineRule="exact"/>
        <w:ind w:left="424" w:leftChars="202" w:firstLine="189" w:firstLineChars="90"/>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频率</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50Hz±1Hz</w:t>
      </w:r>
    </w:p>
    <w:p w14:paraId="36F0846E">
      <w:pPr>
        <w:spacing w:line="420" w:lineRule="exact"/>
        <w:ind w:left="424" w:leftChars="202" w:firstLine="189" w:firstLineChars="90"/>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控制电压</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单相AC220V</w:t>
      </w:r>
    </w:p>
    <w:p w14:paraId="7928B5B8">
      <w:pPr>
        <w:spacing w:line="420" w:lineRule="exact"/>
        <w:ind w:firstLine="472" w:firstLineChars="225"/>
        <w:jc w:val="left"/>
        <w:rPr>
          <w:rFonts w:hint="eastAsia" w:asciiTheme="minorEastAsia" w:hAnsiTheme="minorEastAsia" w:eastAsiaTheme="minorEastAsia" w:cstheme="minorEastAsia"/>
          <w:szCs w:val="21"/>
          <w:lang w:bidi="ar-SA"/>
        </w:rPr>
      </w:pPr>
    </w:p>
    <w:p w14:paraId="5988AD1F">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2、压缩空气：</w:t>
      </w:r>
    </w:p>
    <w:p w14:paraId="7F2783BF">
      <w:pPr>
        <w:spacing w:line="420" w:lineRule="exact"/>
        <w:ind w:firstLine="707" w:firstLineChars="337"/>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无油压缩空气</w:t>
      </w:r>
    </w:p>
    <w:p w14:paraId="7D555680">
      <w:pPr>
        <w:spacing w:line="420" w:lineRule="exact"/>
        <w:ind w:firstLine="472" w:firstLineChars="22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 xml:space="preserve">  运行压力</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0.5~0.8Mpa</w:t>
      </w:r>
    </w:p>
    <w:p w14:paraId="7584DE01">
      <w:pPr>
        <w:spacing w:line="420" w:lineRule="exact"/>
        <w:ind w:firstLine="472" w:firstLineChars="225"/>
        <w:jc w:val="left"/>
        <w:rPr>
          <w:rFonts w:hint="eastAsia" w:asciiTheme="minorEastAsia" w:hAnsiTheme="minorEastAsia" w:eastAsiaTheme="minorEastAsia" w:cstheme="minorEastAsia"/>
          <w:szCs w:val="21"/>
          <w:lang w:bidi="ar-SA"/>
        </w:rPr>
      </w:pPr>
    </w:p>
    <w:p w14:paraId="2C3188F5">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3、环境温度：</w:t>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ab/>
      </w:r>
      <w:r>
        <w:rPr>
          <w:rFonts w:hint="eastAsia" w:asciiTheme="minorEastAsia" w:hAnsiTheme="minorEastAsia" w:eastAsiaTheme="minorEastAsia" w:cstheme="minorEastAsia"/>
          <w:szCs w:val="21"/>
          <w:lang w:bidi="ar-SA"/>
        </w:rPr>
        <w:t>0－40℃</w:t>
      </w:r>
    </w:p>
    <w:p w14:paraId="32F7CFA2">
      <w:pPr>
        <w:spacing w:line="420" w:lineRule="exact"/>
        <w:ind w:firstLine="472" w:firstLineChars="22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厂房住落在海边，有轻微的海洋空气腐蚀性影响</w:t>
      </w:r>
    </w:p>
    <w:p w14:paraId="3397B4EA">
      <w:pPr>
        <w:spacing w:line="420" w:lineRule="exact"/>
        <w:ind w:firstLine="472" w:firstLineChars="225"/>
        <w:jc w:val="left"/>
        <w:rPr>
          <w:rFonts w:ascii="等线" w:hAnsi="等线" w:eastAsia="等线"/>
          <w:szCs w:val="21"/>
          <w:lang w:bidi="ar-SA"/>
        </w:rPr>
      </w:pPr>
    </w:p>
    <w:p w14:paraId="53D183EA">
      <w:pPr>
        <w:spacing w:line="420" w:lineRule="exact"/>
        <w:jc w:val="left"/>
        <w:rPr>
          <w:rFonts w:hint="eastAsia" w:ascii="等线" w:hAnsi="等线" w:eastAsia="等线"/>
          <w:b/>
          <w:bCs/>
          <w:color w:val="0070C0"/>
          <w:szCs w:val="21"/>
          <w:lang w:bidi="ar-SA"/>
        </w:rPr>
      </w:pPr>
      <w:r>
        <w:rPr>
          <w:rFonts w:hint="eastAsia" w:ascii="等线" w:hAnsi="等线" w:eastAsia="等线"/>
          <w:b/>
          <w:bCs/>
          <w:color w:val="0070C0"/>
          <w:szCs w:val="21"/>
          <w:lang w:val="en-US" w:eastAsia="zh-CN" w:bidi="ar-SA"/>
        </w:rPr>
        <w:t>六</w:t>
      </w:r>
      <w:r>
        <w:rPr>
          <w:rFonts w:hint="eastAsia" w:ascii="等线" w:hAnsi="等线" w:eastAsia="等线"/>
          <w:b/>
          <w:bCs/>
          <w:color w:val="0070C0"/>
          <w:szCs w:val="21"/>
          <w:lang w:bidi="ar-SA"/>
        </w:rPr>
        <w:t>、应提供的技术文件（根据合同分期提供）</w:t>
      </w:r>
    </w:p>
    <w:p w14:paraId="0F6E7E3E">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1、设备总图与布置图</w:t>
      </w:r>
    </w:p>
    <w:p w14:paraId="3409AA7C">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2、设备基础图、传动机构图</w:t>
      </w:r>
    </w:p>
    <w:p w14:paraId="6D8F39EE">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3、设备及整套生产线设备使用说明书、操作与维保手册</w:t>
      </w:r>
    </w:p>
    <w:p w14:paraId="56E40A16">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4、机头模具图纸、加热块等易损件图纸</w:t>
      </w:r>
    </w:p>
    <w:p w14:paraId="0035A044">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5、电气原理图、管路图、接线图（表）</w:t>
      </w:r>
    </w:p>
    <w:p w14:paraId="40FDCF9B">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6、计算机和PLC软件、程序</w:t>
      </w:r>
    </w:p>
    <w:p w14:paraId="2EE126B5">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7、外购配件及控制器原厂说明书、轴承清单、易损件清单。</w:t>
      </w:r>
    </w:p>
    <w:p w14:paraId="18085473">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8、其它需要提供的文件、图纸</w:t>
      </w:r>
    </w:p>
    <w:p w14:paraId="14C9170F">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上述文件应提供四套，并提供全套资料的电子版本。</w:t>
      </w:r>
    </w:p>
    <w:p w14:paraId="17477F18">
      <w:pPr>
        <w:spacing w:line="420" w:lineRule="exact"/>
        <w:jc w:val="left"/>
        <w:rPr>
          <w:rFonts w:hint="eastAsia" w:ascii="等线" w:hAnsi="等线" w:eastAsia="等线"/>
          <w:b/>
          <w:bCs/>
          <w:color w:val="0070C0"/>
          <w:szCs w:val="21"/>
          <w:lang w:bidi="ar-SA"/>
        </w:rPr>
      </w:pPr>
      <w:r>
        <w:rPr>
          <w:rFonts w:hint="eastAsia" w:ascii="等线" w:hAnsi="等线" w:eastAsia="等线"/>
          <w:b/>
          <w:bCs/>
          <w:color w:val="0070C0"/>
          <w:szCs w:val="21"/>
          <w:lang w:val="en-US" w:eastAsia="zh-CN" w:bidi="ar-SA"/>
        </w:rPr>
        <w:t>七</w:t>
      </w:r>
      <w:r>
        <w:rPr>
          <w:rFonts w:hint="eastAsia" w:ascii="等线" w:hAnsi="等线" w:eastAsia="等线"/>
          <w:b/>
          <w:bCs/>
          <w:color w:val="0070C0"/>
          <w:szCs w:val="21"/>
          <w:lang w:bidi="ar-SA"/>
        </w:rPr>
        <w:t>、设备验收及技术质量标准</w:t>
      </w:r>
    </w:p>
    <w:p w14:paraId="008873F7">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1、明确代表规格及工艺参数、生产线运行速度、速度限制因素等参数。</w:t>
      </w:r>
    </w:p>
    <w:p w14:paraId="05E53016">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2、按双方确认的技术要求签订设备验收标准在供货合同中明确。</w:t>
      </w:r>
    </w:p>
    <w:p w14:paraId="6EBA686A">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3、设备发运前，供方应提供设备出厂检验报告和各项检验数据。</w:t>
      </w:r>
    </w:p>
    <w:p w14:paraId="1314D05B">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4、最终验收在买方工厂进行，设备经卖方调试，买方配合调试，并经双方约定的规格和时间生产合格的导线方可通过验收，签署验收备忘录。</w:t>
      </w:r>
    </w:p>
    <w:p w14:paraId="1F0C83F6">
      <w:pPr>
        <w:spacing w:line="420" w:lineRule="exact"/>
        <w:ind w:firstLine="283" w:firstLineChars="135"/>
        <w:jc w:val="left"/>
        <w:rPr>
          <w:rFonts w:hint="eastAsia" w:asciiTheme="minorEastAsia" w:hAnsiTheme="minorEastAsia" w:eastAsiaTheme="minorEastAsia" w:cstheme="minorEastAsia"/>
          <w:szCs w:val="21"/>
          <w:lang w:bidi="ar-SA"/>
        </w:rPr>
      </w:pPr>
      <w:r>
        <w:rPr>
          <w:rFonts w:hint="eastAsia" w:asciiTheme="minorEastAsia" w:hAnsiTheme="minorEastAsia" w:eastAsiaTheme="minorEastAsia" w:cstheme="minorEastAsia"/>
          <w:szCs w:val="21"/>
          <w:lang w:bidi="ar-SA"/>
        </w:rPr>
        <w:t>5、质量保证期自最终验收合格起不短于二年。</w:t>
      </w:r>
    </w:p>
    <w:p w14:paraId="37DC2EAB">
      <w:pPr>
        <w:spacing w:line="420" w:lineRule="exact"/>
        <w:ind w:firstLine="472" w:firstLineChars="225"/>
        <w:jc w:val="left"/>
        <w:rPr>
          <w:rFonts w:ascii="等线" w:hAnsi="等线" w:eastAsia="等线"/>
          <w:szCs w:val="21"/>
        </w:rPr>
      </w:pPr>
    </w:p>
    <w:p w14:paraId="2EA816F4">
      <w:pPr>
        <w:spacing w:line="420" w:lineRule="exact"/>
        <w:jc w:val="left"/>
        <w:rPr>
          <w:rFonts w:ascii="等线" w:hAnsi="等线" w:eastAsia="等线"/>
          <w:b/>
          <w:bCs/>
          <w:color w:val="0070C0"/>
          <w:szCs w:val="21"/>
        </w:rPr>
      </w:pPr>
      <w:r>
        <w:rPr>
          <w:rFonts w:hint="eastAsia" w:ascii="等线" w:hAnsi="等线" w:eastAsia="等线"/>
          <w:b/>
          <w:bCs/>
          <w:color w:val="0070C0"/>
          <w:szCs w:val="21"/>
          <w:lang w:val="en-US" w:eastAsia="zh-CN"/>
        </w:rPr>
        <w:t>八</w:t>
      </w:r>
      <w:r>
        <w:rPr>
          <w:rFonts w:hint="eastAsia" w:ascii="等线" w:hAnsi="等线" w:eastAsia="等线"/>
          <w:b/>
          <w:bCs/>
          <w:color w:val="0070C0"/>
          <w:szCs w:val="21"/>
        </w:rPr>
        <w:t>、培训与售后服务承诺</w:t>
      </w:r>
    </w:p>
    <w:p w14:paraId="33E7553A">
      <w:pPr>
        <w:spacing w:line="420" w:lineRule="exact"/>
        <w:ind w:left="141" w:leftChars="67" w:firstLine="142"/>
        <w:jc w:val="left"/>
        <w:rPr>
          <w:rFonts w:hint="eastAsia" w:ascii="宋体" w:hAnsi="宋体" w:eastAsia="宋体" w:cs="宋体"/>
          <w:szCs w:val="21"/>
        </w:rPr>
      </w:pPr>
      <w:r>
        <w:rPr>
          <w:rFonts w:hint="eastAsia" w:ascii="宋体" w:hAnsi="宋体" w:eastAsia="宋体" w:cs="宋体"/>
          <w:szCs w:val="21"/>
        </w:rPr>
        <w:t>1、卖方对设备安装指导、负责调试、现场检查与培训方面应做出计划安排和相应承诺，确保买方技术人员和操作员工能掌握设备相关性能、维护要领和操作要求。</w:t>
      </w:r>
    </w:p>
    <w:p w14:paraId="3EB5CD1F">
      <w:pPr>
        <w:spacing w:line="420" w:lineRule="exact"/>
        <w:ind w:firstLine="283" w:firstLineChars="135"/>
        <w:jc w:val="left"/>
        <w:rPr>
          <w:rFonts w:hint="eastAsia" w:ascii="宋体" w:hAnsi="宋体" w:eastAsia="宋体" w:cs="宋体"/>
          <w:szCs w:val="21"/>
        </w:rPr>
      </w:pPr>
      <w:r>
        <w:rPr>
          <w:rFonts w:hint="eastAsia" w:ascii="宋体" w:hAnsi="宋体" w:eastAsia="宋体" w:cs="宋体"/>
          <w:szCs w:val="21"/>
        </w:rPr>
        <w:t>2、对设备投入运行后，为确保设备连续正常运行，卖方应提供有关部件和及时来现场解决问题的服务承诺。</w:t>
      </w:r>
    </w:p>
    <w:p w14:paraId="46F4CBDE">
      <w:pPr>
        <w:spacing w:line="600" w:lineRule="exact"/>
        <w:rPr>
          <w:rFonts w:ascii="宋体" w:hAnsi="宋体"/>
          <w:sz w:val="28"/>
          <w:szCs w:val="28"/>
        </w:rPr>
      </w:pPr>
    </w:p>
    <w:p w14:paraId="57BD1CBD">
      <w:pPr>
        <w:spacing w:line="420" w:lineRule="exact"/>
        <w:ind w:leftChars="-67" w:hanging="141" w:hangingChars="67"/>
        <w:jc w:val="left"/>
        <w:rPr>
          <w:rFonts w:ascii="等线" w:hAnsi="等线" w:eastAsia="等线"/>
          <w:b/>
          <w:bCs/>
          <w:color w:val="0070C0"/>
          <w:szCs w:val="21"/>
        </w:rPr>
      </w:pPr>
      <w:r>
        <w:rPr>
          <w:rFonts w:hint="eastAsia" w:ascii="等线" w:hAnsi="等线" w:eastAsia="等线"/>
          <w:b/>
          <w:bCs/>
          <w:color w:val="0070C0"/>
          <w:szCs w:val="21"/>
          <w:lang w:val="en-US" w:eastAsia="zh-CN"/>
        </w:rPr>
        <w:t>九</w:t>
      </w:r>
      <w:r>
        <w:rPr>
          <w:rFonts w:hint="eastAsia" w:ascii="等线" w:hAnsi="等线" w:eastAsia="等线"/>
          <w:b/>
          <w:bCs/>
          <w:color w:val="0070C0"/>
          <w:szCs w:val="21"/>
        </w:rPr>
        <w:t>、报价方式及交货期、付款方式：</w:t>
      </w:r>
    </w:p>
    <w:p w14:paraId="3DF181DF">
      <w:pPr>
        <w:spacing w:line="400" w:lineRule="exact"/>
        <w:ind w:left="561" w:leftChars="267"/>
        <w:rPr>
          <w:rFonts w:hint="eastAsia" w:ascii="宋体" w:hAnsi="宋体" w:eastAsia="宋体" w:cs="宋体"/>
          <w:color w:val="FF0000"/>
          <w:sz w:val="21"/>
          <w:szCs w:val="21"/>
        </w:rPr>
      </w:pPr>
      <w:r>
        <w:rPr>
          <w:rFonts w:hint="eastAsia" w:ascii="宋体" w:hAnsi="宋体" w:eastAsia="宋体" w:cs="宋体"/>
          <w:color w:val="FF0000"/>
          <w:sz w:val="21"/>
          <w:szCs w:val="21"/>
        </w:rPr>
        <w:t>投标方报价应包含：设备价、运输、工程施工费；设备质保期经验收调试合格后</w:t>
      </w:r>
      <w:r>
        <w:rPr>
          <w:rFonts w:hint="eastAsia" w:ascii="宋体" w:hAnsi="宋体" w:cs="宋体"/>
          <w:color w:val="FF0000"/>
          <w:sz w:val="21"/>
          <w:szCs w:val="21"/>
          <w:lang w:val="en-US" w:eastAsia="zh-CN"/>
        </w:rPr>
        <w:t>2</w:t>
      </w:r>
      <w:r>
        <w:rPr>
          <w:rFonts w:hint="eastAsia" w:ascii="宋体" w:hAnsi="宋体" w:eastAsia="宋体" w:cs="宋体"/>
          <w:color w:val="FF0000"/>
          <w:sz w:val="21"/>
          <w:szCs w:val="21"/>
        </w:rPr>
        <w:t>年。</w:t>
      </w:r>
    </w:p>
    <w:p w14:paraId="528B0E31">
      <w:pPr>
        <w:spacing w:line="400" w:lineRule="exact"/>
        <w:ind w:left="561" w:leftChars="267"/>
        <w:rPr>
          <w:rFonts w:hint="eastAsia" w:ascii="宋体" w:hAnsi="宋体" w:eastAsia="宋体" w:cs="宋体"/>
          <w:b/>
          <w:bCs/>
          <w:color w:val="FF0000"/>
          <w:sz w:val="21"/>
          <w:szCs w:val="21"/>
        </w:rPr>
      </w:pPr>
      <w:r>
        <w:rPr>
          <w:rFonts w:hint="eastAsia" w:ascii="宋体" w:hAnsi="宋体" w:eastAsia="宋体" w:cs="宋体"/>
          <w:color w:val="FF0000"/>
          <w:sz w:val="21"/>
          <w:szCs w:val="21"/>
        </w:rPr>
        <w:t>付款方式为：</w:t>
      </w:r>
      <w:r>
        <w:rPr>
          <w:rFonts w:hint="eastAsia" w:ascii="宋体" w:hAnsi="宋体" w:eastAsia="宋体" w:cs="宋体"/>
          <w:color w:val="FF0000"/>
          <w:sz w:val="21"/>
          <w:szCs w:val="21"/>
          <w:u w:val="single"/>
          <w:lang w:val="en-US" w:eastAsia="zh-CN"/>
        </w:rPr>
        <w:t>预付10%，发货40%，验收40%，质保1年10%</w:t>
      </w:r>
      <w:r>
        <w:rPr>
          <w:rFonts w:hint="eastAsia" w:ascii="宋体" w:hAnsi="宋体" w:eastAsia="宋体" w:cs="宋体"/>
          <w:color w:val="FF0000"/>
          <w:sz w:val="21"/>
          <w:szCs w:val="21"/>
          <w:u w:val="double"/>
        </w:rPr>
        <w:t>。</w:t>
      </w:r>
      <w:r>
        <w:rPr>
          <w:rFonts w:hint="eastAsia" w:ascii="宋体" w:hAnsi="宋体" w:eastAsia="宋体" w:cs="宋体"/>
          <w:b/>
          <w:bCs/>
          <w:color w:val="FF0000"/>
          <w:sz w:val="21"/>
          <w:szCs w:val="21"/>
          <w:lang w:eastAsia="zh-CN"/>
        </w:rPr>
        <w:t>（</w:t>
      </w:r>
      <w:r>
        <w:rPr>
          <w:rFonts w:hint="eastAsia" w:ascii="宋体" w:hAnsi="宋体" w:eastAsia="宋体" w:cs="宋体"/>
          <w:b/>
          <w:bCs/>
          <w:color w:val="FF0000"/>
          <w:sz w:val="21"/>
          <w:szCs w:val="21"/>
        </w:rPr>
        <w:t>涉及不同付款方式，可在报价书内做商务偏离说明</w:t>
      </w:r>
      <w:r>
        <w:rPr>
          <w:rFonts w:hint="eastAsia" w:ascii="宋体" w:hAnsi="宋体" w:eastAsia="宋体" w:cs="宋体"/>
          <w:b/>
          <w:bCs/>
          <w:color w:val="FF0000"/>
          <w:sz w:val="21"/>
          <w:szCs w:val="21"/>
          <w:lang w:eastAsia="zh-CN"/>
        </w:rPr>
        <w:t>）</w:t>
      </w:r>
      <w:r>
        <w:rPr>
          <w:rFonts w:hint="eastAsia" w:ascii="宋体" w:hAnsi="宋体" w:eastAsia="宋体" w:cs="宋体"/>
          <w:b/>
          <w:bCs/>
          <w:color w:val="FF0000"/>
          <w:sz w:val="21"/>
          <w:szCs w:val="21"/>
        </w:rPr>
        <w:t>。</w:t>
      </w:r>
    </w:p>
    <w:p w14:paraId="7C4F2B6E">
      <w:pPr>
        <w:spacing w:line="400" w:lineRule="exact"/>
        <w:rPr>
          <w:rFonts w:hint="eastAsia"/>
          <w:b/>
          <w:bCs/>
          <w:color w:val="000000"/>
          <w:sz w:val="24"/>
        </w:rPr>
      </w:pPr>
    </w:p>
    <w:p w14:paraId="4386C449">
      <w:pPr>
        <w:spacing w:line="420" w:lineRule="exact"/>
        <w:ind w:leftChars="-67" w:hanging="141" w:hangingChars="67"/>
        <w:jc w:val="left"/>
        <w:rPr>
          <w:rFonts w:ascii="等线" w:hAnsi="等线" w:eastAsia="等线"/>
          <w:b/>
          <w:bCs/>
          <w:color w:val="0070C0"/>
          <w:szCs w:val="21"/>
        </w:rPr>
      </w:pPr>
      <w:r>
        <w:rPr>
          <w:rFonts w:hint="eastAsia" w:ascii="等线" w:hAnsi="等线" w:eastAsia="等线"/>
          <w:b/>
          <w:bCs/>
          <w:color w:val="0070C0"/>
          <w:szCs w:val="21"/>
          <w:lang w:val="en-US" w:eastAsia="zh-CN"/>
        </w:rPr>
        <w:t>十</w:t>
      </w:r>
      <w:r>
        <w:rPr>
          <w:rFonts w:hint="eastAsia" w:ascii="等线" w:hAnsi="等线" w:eastAsia="等线"/>
          <w:b/>
          <w:bCs/>
          <w:color w:val="0070C0"/>
          <w:szCs w:val="21"/>
        </w:rPr>
        <w:t>、 投标商需提供投标文件的内容</w:t>
      </w:r>
    </w:p>
    <w:p w14:paraId="42CD0366">
      <w:pPr>
        <w:widowControl/>
        <w:spacing w:before="156" w:beforeLines="50" w:line="400" w:lineRule="exact"/>
        <w:jc w:val="left"/>
        <w:rPr>
          <w:rFonts w:hint="eastAsia" w:ascii="宋体" w:hAnsi="宋体" w:eastAsia="宋体" w:cs="宋体"/>
          <w:sz w:val="21"/>
          <w:szCs w:val="21"/>
        </w:rPr>
      </w:pPr>
      <w:r>
        <w:rPr>
          <w:rFonts w:hint="eastAsia" w:ascii="宋体" w:hAnsi="宋体" w:eastAsia="宋体" w:cs="宋体"/>
          <w:sz w:val="21"/>
          <w:szCs w:val="21"/>
        </w:rPr>
        <w:t>1、企业资质文件</w:t>
      </w:r>
    </w:p>
    <w:p w14:paraId="576D3ADF">
      <w:pPr>
        <w:spacing w:line="400" w:lineRule="exact"/>
        <w:ind w:left="561" w:leftChars="267"/>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提供：公司介绍文本、营业执照（三证合一）、银行开户许可证、法人授权委托书、投标对接人身份证复印件（务必备注联系方式）、财务审计报告、质量管理体系认证证书、行业/生产资质证书；报价公司对本次项目的专项授权及承诺书等有效资质证明（如：代理证书等）；最近3-5年内同类设备/系统的销售业绩表，用户名称、时间、联系方式及用户意见等。 </w:t>
      </w:r>
    </w:p>
    <w:p w14:paraId="7D10DC39">
      <w:pPr>
        <w:spacing w:line="400" w:lineRule="exact"/>
        <w:rPr>
          <w:rFonts w:hint="eastAsia" w:ascii="宋体" w:hAnsi="宋体" w:eastAsia="宋体" w:cs="宋体"/>
          <w:sz w:val="21"/>
          <w:szCs w:val="21"/>
        </w:rPr>
      </w:pPr>
      <w:r>
        <w:rPr>
          <w:rFonts w:hint="eastAsia" w:ascii="宋体" w:hAnsi="宋体" w:eastAsia="宋体" w:cs="宋体"/>
          <w:sz w:val="21"/>
          <w:szCs w:val="21"/>
        </w:rPr>
        <w:t>2、技术文件：</w:t>
      </w:r>
    </w:p>
    <w:p w14:paraId="416F611C">
      <w:pPr>
        <w:spacing w:line="400" w:lineRule="exact"/>
        <w:ind w:left="414" w:leftChars="197"/>
        <w:rPr>
          <w:rFonts w:hint="eastAsia" w:ascii="宋体" w:hAnsi="宋体" w:eastAsia="宋体" w:cs="宋体"/>
          <w:sz w:val="21"/>
          <w:szCs w:val="21"/>
        </w:rPr>
      </w:pPr>
      <w:r>
        <w:rPr>
          <w:rFonts w:hint="eastAsia" w:ascii="宋体" w:hAnsi="宋体" w:eastAsia="宋体" w:cs="宋体"/>
          <w:sz w:val="21"/>
          <w:szCs w:val="21"/>
        </w:rPr>
        <w:t>1、投标设备的制造标准；投标设备的技术规范书按招标设备的技术要求应详细说明设备配置、产商、核心配件/组件品牌和设备各部分性能特点，技术参数，外形图，部件的结构、材料，电控系统说明，随机备件清单，随机技术资料目录，技术服务承诺，质量保证承诺等</w:t>
      </w:r>
    </w:p>
    <w:p w14:paraId="213251D8">
      <w:pPr>
        <w:spacing w:line="400" w:lineRule="exact"/>
        <w:ind w:left="414" w:leftChars="197"/>
        <w:rPr>
          <w:rFonts w:hint="eastAsia" w:ascii="宋体" w:hAnsi="宋体" w:eastAsia="宋体" w:cs="宋体"/>
          <w:sz w:val="21"/>
          <w:szCs w:val="21"/>
        </w:rPr>
      </w:pPr>
      <w:r>
        <w:rPr>
          <w:rFonts w:hint="eastAsia" w:ascii="宋体" w:hAnsi="宋体" w:eastAsia="宋体" w:cs="宋体"/>
          <w:sz w:val="21"/>
          <w:szCs w:val="21"/>
        </w:rPr>
        <w:t>2、根据我司技术要求及后期技术答疑内容，明确所报材料：名称+材质+规格型号+数量等核心信息</w:t>
      </w:r>
    </w:p>
    <w:p w14:paraId="40C75B25">
      <w:pPr>
        <w:spacing w:line="400" w:lineRule="exact"/>
        <w:rPr>
          <w:rFonts w:hint="eastAsia" w:ascii="宋体" w:hAnsi="宋体" w:eastAsia="宋体" w:cs="宋体"/>
          <w:sz w:val="21"/>
          <w:szCs w:val="21"/>
        </w:rPr>
      </w:pPr>
      <w:r>
        <w:rPr>
          <w:rFonts w:hint="eastAsia" w:ascii="宋体" w:hAnsi="宋体" w:eastAsia="宋体" w:cs="宋体"/>
          <w:sz w:val="21"/>
          <w:szCs w:val="21"/>
        </w:rPr>
        <w:t>3、商务文件：</w:t>
      </w:r>
    </w:p>
    <w:p w14:paraId="4A9AA842">
      <w:pPr>
        <w:spacing w:line="400" w:lineRule="exact"/>
        <w:ind w:left="420" w:leftChars="200"/>
        <w:rPr>
          <w:rFonts w:hint="eastAsia" w:ascii="宋体" w:hAnsi="宋体" w:eastAsia="宋体" w:cs="宋体"/>
          <w:sz w:val="21"/>
          <w:szCs w:val="21"/>
        </w:rPr>
      </w:pPr>
      <w:r>
        <w:rPr>
          <w:rFonts w:hint="eastAsia" w:ascii="宋体" w:hAnsi="宋体" w:eastAsia="宋体" w:cs="宋体"/>
          <w:sz w:val="21"/>
          <w:szCs w:val="21"/>
        </w:rPr>
        <w:t>投标设备的响应交货期；投标设备各组成部份（分项报价明细）、设备常用备品备件（明确品牌型号后分项报价）、；付款方式确认（明确付款比例+电汇/银承等）。</w:t>
      </w:r>
    </w:p>
    <w:p w14:paraId="4B0E722E">
      <w:pPr>
        <w:widowControl/>
        <w:spacing w:before="156" w:beforeLines="50" w:line="400" w:lineRule="exact"/>
        <w:ind w:left="360" w:hanging="315" w:hangingChars="150"/>
        <w:jc w:val="left"/>
        <w:rPr>
          <w:rFonts w:hint="eastAsia" w:ascii="宋体" w:hAnsi="宋体" w:eastAsia="宋体" w:cs="宋体"/>
          <w:sz w:val="21"/>
          <w:szCs w:val="21"/>
        </w:rPr>
      </w:pPr>
      <w:r>
        <w:rPr>
          <w:rFonts w:hint="eastAsia" w:ascii="宋体" w:hAnsi="宋体" w:eastAsia="宋体" w:cs="宋体"/>
          <w:sz w:val="21"/>
          <w:szCs w:val="21"/>
        </w:rPr>
        <w:t>4</w:t>
      </w:r>
      <w:r>
        <w:rPr>
          <w:rFonts w:hint="eastAsia" w:ascii="宋体" w:hAnsi="宋体" w:eastAsia="宋体" w:cs="宋体"/>
          <w:color w:val="FF0000"/>
          <w:sz w:val="21"/>
          <w:szCs w:val="21"/>
        </w:rPr>
        <w:t>、</w:t>
      </w:r>
      <w:r>
        <w:rPr>
          <w:rFonts w:hint="eastAsia" w:ascii="宋体" w:hAnsi="宋体" w:eastAsia="宋体" w:cs="宋体"/>
          <w:b/>
          <w:bCs/>
          <w:color w:val="FF0000"/>
          <w:sz w:val="21"/>
          <w:szCs w:val="21"/>
        </w:rPr>
        <w:t>投标书正本</w:t>
      </w:r>
      <w:r>
        <w:rPr>
          <w:rFonts w:hint="eastAsia" w:ascii="宋体" w:hAnsi="宋体" w:eastAsia="宋体" w:cs="宋体"/>
          <w:b/>
          <w:bCs/>
          <w:color w:val="FF0000"/>
          <w:sz w:val="21"/>
          <w:szCs w:val="21"/>
          <w:lang w:val="en-US" w:eastAsia="zh-CN"/>
        </w:rPr>
        <w:t>一</w:t>
      </w:r>
      <w:r>
        <w:rPr>
          <w:rFonts w:hint="eastAsia" w:ascii="宋体" w:hAnsi="宋体" w:eastAsia="宋体" w:cs="宋体"/>
          <w:b/>
          <w:bCs/>
          <w:color w:val="FF0000"/>
          <w:sz w:val="21"/>
          <w:szCs w:val="21"/>
        </w:rPr>
        <w:t>份，副本</w:t>
      </w:r>
      <w:r>
        <w:rPr>
          <w:rFonts w:hint="eastAsia" w:ascii="宋体" w:hAnsi="宋体" w:eastAsia="宋体" w:cs="宋体"/>
          <w:b/>
          <w:bCs/>
          <w:color w:val="FF0000"/>
          <w:sz w:val="21"/>
          <w:szCs w:val="21"/>
          <w:lang w:val="en-US" w:eastAsia="zh-CN"/>
        </w:rPr>
        <w:t>一</w:t>
      </w:r>
      <w:r>
        <w:rPr>
          <w:rFonts w:hint="eastAsia" w:ascii="宋体" w:hAnsi="宋体" w:eastAsia="宋体" w:cs="宋体"/>
          <w:b/>
          <w:bCs/>
          <w:color w:val="FF0000"/>
          <w:sz w:val="21"/>
          <w:szCs w:val="21"/>
        </w:rPr>
        <w:t>份，投标文件须密封并在封口签字或加盖公章(需在快递外包袋上注明</w:t>
      </w:r>
      <w:r>
        <w:rPr>
          <w:rFonts w:hint="eastAsia" w:ascii="宋体" w:hAnsi="宋体" w:eastAsia="宋体" w:cs="宋体"/>
          <w:b/>
          <w:bCs/>
          <w:color w:val="FF0000"/>
          <w:sz w:val="21"/>
          <w:szCs w:val="21"/>
          <w:u w:val="double"/>
        </w:rPr>
        <w:t>公司简称+标书</w:t>
      </w:r>
      <w:r>
        <w:rPr>
          <w:rFonts w:hint="eastAsia" w:ascii="宋体" w:hAnsi="宋体" w:eastAsia="宋体" w:cs="宋体"/>
          <w:b/>
          <w:bCs/>
          <w:color w:val="FF0000"/>
          <w:sz w:val="21"/>
          <w:szCs w:val="21"/>
        </w:rPr>
        <w:t>字样)。</w:t>
      </w:r>
    </w:p>
    <w:p w14:paraId="2DD36C34">
      <w:pPr>
        <w:widowControl/>
        <w:spacing w:before="156" w:beforeLines="50" w:line="400" w:lineRule="exact"/>
        <w:jc w:val="left"/>
        <w:rPr>
          <w:rFonts w:hint="eastAsia" w:ascii="宋体" w:hAnsi="宋体" w:eastAsia="宋体" w:cs="宋体"/>
          <w:sz w:val="21"/>
          <w:szCs w:val="21"/>
        </w:rPr>
      </w:pPr>
      <w:r>
        <w:rPr>
          <w:rFonts w:hint="eastAsia" w:ascii="宋体" w:hAnsi="宋体" w:eastAsia="宋体" w:cs="宋体"/>
          <w:sz w:val="21"/>
          <w:szCs w:val="21"/>
        </w:rPr>
        <w:t>注：商务标书与技术标分开装订，可并包快递或送达（商务报价独立密封+商务标书独立密封+技术标书独立密封=并包快递/送达）</w:t>
      </w:r>
    </w:p>
    <w:p w14:paraId="22DF18BF">
      <w:pPr>
        <w:widowControl/>
        <w:spacing w:before="156" w:beforeLines="50" w:line="400" w:lineRule="exact"/>
        <w:jc w:val="left"/>
        <w:rPr>
          <w:rFonts w:hint="eastAsia" w:ascii="宋体" w:hAnsi="宋体" w:eastAsia="宋体" w:cs="宋体"/>
          <w:sz w:val="21"/>
          <w:szCs w:val="21"/>
        </w:rPr>
      </w:pPr>
    </w:p>
    <w:p w14:paraId="5839A8B0">
      <w:pPr>
        <w:spacing w:line="420" w:lineRule="exact"/>
        <w:ind w:leftChars="-67" w:hanging="141" w:hangingChars="67"/>
        <w:jc w:val="left"/>
        <w:rPr>
          <w:rFonts w:ascii="等线" w:hAnsi="等线" w:eastAsia="等线"/>
          <w:b/>
          <w:bCs/>
          <w:color w:val="0070C0"/>
          <w:szCs w:val="21"/>
        </w:rPr>
      </w:pPr>
      <w:r>
        <w:rPr>
          <w:rFonts w:hint="eastAsia" w:ascii="等线" w:hAnsi="等线" w:eastAsia="等线"/>
          <w:b/>
          <w:bCs/>
          <w:color w:val="0070C0"/>
          <w:szCs w:val="21"/>
          <w:lang w:val="en-US" w:eastAsia="zh-CN"/>
        </w:rPr>
        <w:t>十一</w:t>
      </w:r>
      <w:r>
        <w:rPr>
          <w:rFonts w:hint="eastAsia" w:ascii="等线" w:hAnsi="等线" w:eastAsia="等线"/>
          <w:b/>
          <w:bCs/>
          <w:color w:val="0070C0"/>
          <w:szCs w:val="21"/>
        </w:rPr>
        <w:t>、投标方需要说明的其它事项：</w:t>
      </w:r>
    </w:p>
    <w:p w14:paraId="7184F521">
      <w:pPr>
        <w:spacing w:line="400" w:lineRule="exact"/>
        <w:ind w:left="456" w:leftChars="67" w:hanging="315" w:hangingChars="150"/>
        <w:rPr>
          <w:rFonts w:hint="eastAsia" w:ascii="宋体" w:hAnsi="宋体" w:eastAsia="宋体" w:cs="宋体"/>
          <w:sz w:val="21"/>
          <w:szCs w:val="21"/>
        </w:rPr>
      </w:pPr>
      <w:r>
        <w:rPr>
          <w:rFonts w:hint="eastAsia" w:ascii="宋体" w:hAnsi="宋体" w:eastAsia="宋体" w:cs="宋体"/>
          <w:sz w:val="21"/>
          <w:szCs w:val="21"/>
        </w:rPr>
        <w:t>1、本标书仅提供了招标设备的基本参数及要求，投标方不能因招标书的限定而免除对投标设备应满足招标方其它要求应承担的责任。</w:t>
      </w:r>
    </w:p>
    <w:p w14:paraId="26CEB18B">
      <w:pPr>
        <w:spacing w:line="400" w:lineRule="exact"/>
        <w:ind w:firstLine="105" w:firstLineChars="50"/>
        <w:rPr>
          <w:rFonts w:hint="eastAsia" w:ascii="宋体" w:hAnsi="宋体" w:eastAsia="宋体" w:cs="宋体"/>
          <w:sz w:val="21"/>
          <w:szCs w:val="21"/>
        </w:rPr>
      </w:pPr>
      <w:r>
        <w:rPr>
          <w:rFonts w:hint="eastAsia" w:ascii="宋体" w:hAnsi="宋体" w:eastAsia="宋体" w:cs="宋体"/>
          <w:sz w:val="21"/>
          <w:szCs w:val="21"/>
        </w:rPr>
        <w:t>2、招标方在合同签定之前有权对设备采购数量和性能参数进行调整。</w:t>
      </w:r>
    </w:p>
    <w:p w14:paraId="447B23BB">
      <w:pPr>
        <w:spacing w:line="400" w:lineRule="exact"/>
        <w:ind w:left="456" w:leftChars="67" w:hanging="315" w:hangingChars="15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color w:val="FF0000"/>
          <w:sz w:val="21"/>
          <w:szCs w:val="21"/>
        </w:rPr>
        <w:t>本次招标项目截止时间为</w:t>
      </w:r>
      <w:r>
        <w:rPr>
          <w:rFonts w:hint="eastAsia" w:ascii="宋体" w:hAnsi="宋体" w:eastAsia="宋体" w:cs="宋体"/>
          <w:color w:val="FF0000"/>
          <w:sz w:val="21"/>
          <w:szCs w:val="21"/>
          <w:u w:val="single"/>
        </w:rPr>
        <w:t>202</w:t>
      </w:r>
      <w:r>
        <w:rPr>
          <w:rFonts w:hint="eastAsia" w:ascii="宋体" w:hAnsi="宋体" w:cs="宋体"/>
          <w:color w:val="FF0000"/>
          <w:sz w:val="21"/>
          <w:szCs w:val="21"/>
          <w:u w:val="single"/>
          <w:lang w:val="en-US" w:eastAsia="zh-CN"/>
        </w:rPr>
        <w:t>6</w:t>
      </w:r>
      <w:r>
        <w:rPr>
          <w:rFonts w:hint="eastAsia" w:ascii="宋体" w:hAnsi="宋体" w:eastAsia="宋体" w:cs="宋体"/>
          <w:color w:val="FF0000"/>
          <w:sz w:val="21"/>
          <w:szCs w:val="21"/>
          <w:u w:val="single"/>
        </w:rPr>
        <w:t>年</w:t>
      </w:r>
      <w:r>
        <w:rPr>
          <w:rFonts w:hint="eastAsia" w:ascii="宋体" w:hAnsi="宋体" w:cs="宋体"/>
          <w:color w:val="FF0000"/>
          <w:sz w:val="21"/>
          <w:szCs w:val="21"/>
          <w:u w:val="single"/>
          <w:lang w:val="en-US" w:eastAsia="zh-CN"/>
        </w:rPr>
        <w:t>3</w:t>
      </w:r>
      <w:r>
        <w:rPr>
          <w:rFonts w:hint="eastAsia" w:ascii="宋体" w:hAnsi="宋体" w:eastAsia="宋体" w:cs="宋体"/>
          <w:color w:val="FF0000"/>
          <w:sz w:val="21"/>
          <w:szCs w:val="21"/>
          <w:u w:val="single"/>
        </w:rPr>
        <w:t>月</w:t>
      </w:r>
      <w:r>
        <w:rPr>
          <w:rFonts w:hint="eastAsia" w:ascii="宋体" w:hAnsi="宋体" w:cs="宋体"/>
          <w:color w:val="FF0000"/>
          <w:sz w:val="21"/>
          <w:szCs w:val="21"/>
          <w:u w:val="single"/>
          <w:lang w:val="en-US" w:eastAsia="zh-CN"/>
        </w:rPr>
        <w:t>23</w:t>
      </w:r>
      <w:r>
        <w:rPr>
          <w:rFonts w:hint="eastAsia" w:ascii="宋体" w:hAnsi="宋体" w:eastAsia="宋体" w:cs="宋体"/>
          <w:color w:val="FF0000"/>
          <w:sz w:val="21"/>
          <w:szCs w:val="21"/>
          <w:u w:val="single"/>
        </w:rPr>
        <w:t>日17:00</w:t>
      </w:r>
      <w:r>
        <w:rPr>
          <w:rFonts w:hint="eastAsia" w:ascii="宋体" w:hAnsi="宋体" w:eastAsia="宋体" w:cs="宋体"/>
          <w:color w:val="FF0000"/>
          <w:sz w:val="21"/>
          <w:szCs w:val="21"/>
        </w:rPr>
        <w:t>时,投标方将投标书以快件形式寄送/送达招标方</w:t>
      </w:r>
      <w:r>
        <w:rPr>
          <w:rFonts w:hint="eastAsia" w:ascii="宋体" w:hAnsi="宋体" w:eastAsia="宋体" w:cs="宋体"/>
          <w:sz w:val="21"/>
          <w:szCs w:val="21"/>
        </w:rPr>
        <w:t xml:space="preserve">。   </w:t>
      </w:r>
    </w:p>
    <w:p w14:paraId="7F74A6E3">
      <w:pPr>
        <w:spacing w:line="400" w:lineRule="exact"/>
        <w:ind w:firstLine="105" w:firstLineChars="50"/>
        <w:rPr>
          <w:rFonts w:hint="eastAsia" w:ascii="宋体" w:hAnsi="宋体" w:eastAsia="宋体" w:cs="宋体"/>
          <w:sz w:val="21"/>
          <w:szCs w:val="21"/>
        </w:rPr>
      </w:pPr>
      <w:r>
        <w:rPr>
          <w:rFonts w:hint="eastAsia" w:ascii="宋体" w:hAnsi="宋体" w:eastAsia="宋体" w:cs="宋体"/>
          <w:sz w:val="21"/>
          <w:szCs w:val="21"/>
        </w:rPr>
        <w:t xml:space="preserve">4、本次招标开标时不邀请投标方派员参加。 </w:t>
      </w:r>
    </w:p>
    <w:p w14:paraId="237AA4A5">
      <w:pPr>
        <w:spacing w:line="400" w:lineRule="exact"/>
        <w:ind w:left="456" w:leftChars="67" w:hanging="315" w:hangingChars="150"/>
        <w:rPr>
          <w:rFonts w:hint="eastAsia" w:ascii="宋体" w:hAnsi="宋体" w:eastAsia="宋体" w:cs="宋体"/>
          <w:sz w:val="21"/>
          <w:szCs w:val="21"/>
        </w:rPr>
      </w:pPr>
      <w:r>
        <w:rPr>
          <w:rFonts w:hint="eastAsia" w:ascii="宋体" w:hAnsi="宋体" w:eastAsia="宋体" w:cs="宋体"/>
          <w:sz w:val="21"/>
          <w:szCs w:val="21"/>
        </w:rPr>
        <w:t>5、届时由招标方邀请有关方面专家对标书进行评审，根据评审情况通知投标方对投标设备标书内容作进一步交流澄清，投标方就相关问题作书面承诺。</w:t>
      </w:r>
    </w:p>
    <w:p w14:paraId="2FBE28CA">
      <w:pPr>
        <w:spacing w:line="400" w:lineRule="exact"/>
        <w:ind w:left="456" w:leftChars="67" w:hanging="315" w:hangingChars="150"/>
        <w:rPr>
          <w:rFonts w:hint="eastAsia" w:ascii="宋体" w:hAnsi="宋体" w:eastAsia="宋体" w:cs="宋体"/>
          <w:sz w:val="21"/>
          <w:szCs w:val="21"/>
        </w:rPr>
      </w:pPr>
      <w:r>
        <w:rPr>
          <w:rFonts w:hint="eastAsia" w:ascii="宋体" w:hAnsi="宋体" w:eastAsia="宋体" w:cs="宋体"/>
          <w:sz w:val="21"/>
          <w:szCs w:val="21"/>
        </w:rPr>
        <w:t>6、招标方依据评审和答疑结果确定中标单位，并通知中标单位签订合同、技术协议等文件，对未中标单位招标方不作解释。</w:t>
      </w:r>
    </w:p>
    <w:p w14:paraId="7D3BC3F5">
      <w:pPr>
        <w:spacing w:line="400" w:lineRule="exact"/>
        <w:ind w:left="501" w:leftChars="67" w:hanging="360" w:hangingChars="150"/>
        <w:rPr>
          <w:rFonts w:hint="eastAsia"/>
          <w:sz w:val="24"/>
          <w:lang w:val="en-US" w:eastAsia="zh-CN"/>
        </w:rPr>
      </w:pPr>
      <w:bookmarkStart w:id="10" w:name="_GoBack"/>
      <w:bookmarkEnd w:id="10"/>
    </w:p>
    <w:p w14:paraId="2D308010">
      <w:pPr>
        <w:spacing w:line="420" w:lineRule="exact"/>
        <w:ind w:leftChars="-67" w:hanging="141" w:hangingChars="67"/>
        <w:jc w:val="left"/>
        <w:rPr>
          <w:rFonts w:hint="eastAsia" w:ascii="等线" w:hAnsi="等线" w:eastAsia="等线"/>
          <w:b/>
          <w:bCs/>
          <w:color w:val="0070C0"/>
          <w:szCs w:val="21"/>
        </w:rPr>
      </w:pPr>
      <w:r>
        <w:rPr>
          <w:rFonts w:hint="eastAsia" w:ascii="等线" w:hAnsi="等线" w:eastAsia="等线"/>
          <w:b/>
          <w:bCs/>
          <w:color w:val="0070C0"/>
          <w:szCs w:val="21"/>
          <w:lang w:val="en-US" w:eastAsia="zh-CN"/>
        </w:rPr>
        <w:t>十二</w:t>
      </w:r>
      <w:r>
        <w:rPr>
          <w:rFonts w:hint="eastAsia" w:ascii="等线" w:hAnsi="等线" w:eastAsia="等线"/>
          <w:b/>
          <w:bCs/>
          <w:color w:val="0070C0"/>
          <w:szCs w:val="21"/>
        </w:rPr>
        <w:t>、 标书接收形式及方式</w:t>
      </w:r>
    </w:p>
    <w:p w14:paraId="75341061">
      <w:pPr>
        <w:spacing w:line="400" w:lineRule="exact"/>
        <w:ind w:left="501" w:leftChars="67" w:hanging="360" w:hangingChars="150"/>
        <w:rPr>
          <w:sz w:val="24"/>
        </w:rPr>
      </w:pPr>
    </w:p>
    <w:p w14:paraId="200EC298">
      <w:pPr>
        <w:ind w:firstLine="210" w:firstLineChars="100"/>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标书接收人：</w:t>
      </w:r>
      <w:r>
        <w:rPr>
          <w:rFonts w:hint="eastAsia" w:ascii="宋体" w:hAnsi="宋体" w:cs="宋体"/>
          <w:sz w:val="21"/>
          <w:szCs w:val="21"/>
          <w:lang w:val="en-US" w:eastAsia="zh-CN"/>
        </w:rPr>
        <w:t>徐云飞</w:t>
      </w:r>
      <w:r>
        <w:rPr>
          <w:rFonts w:hint="eastAsia" w:ascii="宋体" w:hAnsi="宋体" w:eastAsia="宋体" w:cs="宋体"/>
          <w:sz w:val="21"/>
          <w:szCs w:val="21"/>
        </w:rPr>
        <w:t xml:space="preserve">   </w:t>
      </w:r>
      <w:r>
        <w:rPr>
          <w:rFonts w:hint="eastAsia" w:ascii="宋体" w:hAnsi="宋体" w:eastAsia="宋体" w:cs="宋体"/>
          <w:sz w:val="21"/>
          <w:szCs w:val="21"/>
          <w:lang w:val="en-US" w:eastAsia="zh-CN"/>
        </w:rPr>
        <w:t>18861775801</w:t>
      </w:r>
      <w:r>
        <w:rPr>
          <w:rFonts w:hint="eastAsia" w:ascii="宋体" w:hAnsi="宋体" w:eastAsia="宋体" w:cs="宋体"/>
          <w:sz w:val="21"/>
          <w:szCs w:val="21"/>
        </w:rPr>
        <w:t xml:space="preserve">    </w:t>
      </w:r>
    </w:p>
    <w:p w14:paraId="003C0824">
      <w:pPr>
        <w:rPr>
          <w:rFonts w:hint="eastAsia" w:ascii="宋体" w:hAnsi="宋体" w:eastAsia="宋体" w:cs="宋体"/>
          <w:sz w:val="21"/>
          <w:szCs w:val="21"/>
        </w:rPr>
      </w:pPr>
    </w:p>
    <w:p w14:paraId="3D80E63B">
      <w:pPr>
        <w:numPr>
          <w:ilvl w:val="0"/>
          <w:numId w:val="2"/>
        </w:numPr>
        <w:ind w:firstLine="210" w:firstLineChars="100"/>
        <w:rPr>
          <w:rFonts w:hint="eastAsia" w:ascii="宋体" w:hAnsi="宋体" w:eastAsia="宋体" w:cs="宋体"/>
          <w:sz w:val="21"/>
          <w:szCs w:val="21"/>
          <w:lang w:val="en-US" w:eastAsia="zh-CN"/>
        </w:rPr>
      </w:pPr>
      <w:r>
        <w:rPr>
          <w:rFonts w:hint="eastAsia" w:ascii="宋体" w:hAnsi="宋体" w:eastAsia="宋体" w:cs="宋体"/>
          <w:sz w:val="21"/>
          <w:szCs w:val="21"/>
        </w:rPr>
        <w:t>技术答疑人：</w:t>
      </w:r>
      <w:r>
        <w:rPr>
          <w:rFonts w:hint="eastAsia" w:ascii="宋体" w:hAnsi="宋体" w:eastAsia="宋体" w:cs="宋体"/>
          <w:sz w:val="21"/>
          <w:szCs w:val="21"/>
          <w:lang w:val="en-US" w:eastAsia="zh-CN"/>
        </w:rPr>
        <w:t xml:space="preserve">刘彤  </w:t>
      </w:r>
      <w:r>
        <w:rPr>
          <w:rFonts w:hint="eastAsia" w:ascii="宋体" w:hAnsi="宋体" w:cs="宋体"/>
          <w:sz w:val="21"/>
          <w:szCs w:val="21"/>
          <w:lang w:val="en-US" w:eastAsia="zh-CN"/>
        </w:rPr>
        <w:t xml:space="preserve">  </w:t>
      </w:r>
      <w:r>
        <w:rPr>
          <w:rFonts w:hint="eastAsia" w:ascii="宋体" w:hAnsi="宋体" w:eastAsia="宋体" w:cs="宋体"/>
          <w:sz w:val="21"/>
          <w:szCs w:val="21"/>
          <w:lang w:val="en-US" w:eastAsia="zh-CN"/>
        </w:rPr>
        <w:t xml:space="preserve"> 18861775228   </w:t>
      </w:r>
    </w:p>
    <w:p w14:paraId="3678927E">
      <w:pPr>
        <w:numPr>
          <w:ilvl w:val="0"/>
          <w:numId w:val="0"/>
        </w:numPr>
        <w:rPr>
          <w:rFonts w:hint="eastAsia" w:ascii="宋体" w:hAnsi="宋体" w:eastAsia="宋体" w:cs="宋体"/>
          <w:sz w:val="21"/>
          <w:szCs w:val="21"/>
        </w:rPr>
      </w:pPr>
      <w:r>
        <w:rPr>
          <w:rFonts w:hint="eastAsia" w:ascii="宋体" w:hAnsi="宋体" w:eastAsia="宋体" w:cs="宋体"/>
          <w:sz w:val="21"/>
          <w:szCs w:val="21"/>
        </w:rPr>
        <w:t xml:space="preserve">  </w:t>
      </w:r>
    </w:p>
    <w:p w14:paraId="23B39022">
      <w:pPr>
        <w:ind w:firstLine="210" w:firstLineChars="100"/>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3、</w:t>
      </w:r>
      <w:r>
        <w:rPr>
          <w:rFonts w:hint="eastAsia" w:ascii="宋体" w:hAnsi="宋体" w:eastAsia="宋体" w:cs="宋体"/>
          <w:sz w:val="21"/>
          <w:szCs w:val="21"/>
        </w:rPr>
        <w:t>标书接收地址：宜兴市高塍</w:t>
      </w:r>
      <w:r>
        <w:rPr>
          <w:rFonts w:hint="eastAsia" w:ascii="宋体" w:hAnsi="宋体" w:cs="宋体"/>
          <w:sz w:val="21"/>
          <w:szCs w:val="21"/>
          <w:lang w:val="en-US" w:eastAsia="zh-CN"/>
        </w:rPr>
        <w:t>镇</w:t>
      </w:r>
      <w:r>
        <w:rPr>
          <w:rFonts w:hint="eastAsia" w:ascii="宋体" w:hAnsi="宋体" w:eastAsia="宋体" w:cs="宋体"/>
          <w:sz w:val="21"/>
          <w:szCs w:val="21"/>
        </w:rPr>
        <w:t>范道</w:t>
      </w:r>
      <w:r>
        <w:rPr>
          <w:rFonts w:hint="eastAsia" w:ascii="宋体" w:hAnsi="宋体" w:cs="宋体"/>
          <w:sz w:val="21"/>
          <w:szCs w:val="21"/>
          <w:lang w:val="en-US" w:eastAsia="zh-CN"/>
        </w:rPr>
        <w:t>远东电缆有限公司</w:t>
      </w:r>
      <w:r>
        <w:rPr>
          <w:rFonts w:hint="eastAsia" w:ascii="宋体" w:hAnsi="宋体" w:eastAsia="宋体" w:cs="宋体"/>
          <w:sz w:val="21"/>
          <w:szCs w:val="21"/>
          <w:lang w:eastAsia="zh-CN"/>
        </w:rPr>
        <w:t>—</w:t>
      </w:r>
      <w:r>
        <w:rPr>
          <w:rFonts w:hint="eastAsia" w:ascii="宋体" w:hAnsi="宋体" w:eastAsia="宋体" w:cs="宋体"/>
          <w:sz w:val="21"/>
          <w:szCs w:val="21"/>
        </w:rPr>
        <w:t>采购服务部</w:t>
      </w:r>
      <w:r>
        <w:rPr>
          <w:rFonts w:hint="eastAsia" w:ascii="宋体" w:hAnsi="宋体" w:cs="宋体"/>
          <w:sz w:val="21"/>
          <w:szCs w:val="21"/>
          <w:lang w:val="en-US" w:eastAsia="zh-CN"/>
        </w:rPr>
        <w:t>107室</w:t>
      </w:r>
    </w:p>
    <w:p w14:paraId="1E67E415">
      <w:pPr>
        <w:spacing w:line="360" w:lineRule="exact"/>
        <w:ind w:left="480" w:hanging="480" w:hangingChars="200"/>
        <w:rPr>
          <w:color w:val="0000FF"/>
          <w:sz w:val="24"/>
          <w:u w:val="single"/>
        </w:rPr>
      </w:pPr>
    </w:p>
    <w:p w14:paraId="76B22513">
      <w:pPr>
        <w:spacing w:line="360" w:lineRule="auto"/>
        <w:jc w:val="center"/>
        <w:rPr>
          <w:sz w:val="24"/>
        </w:rPr>
      </w:pPr>
    </w:p>
    <w:sectPr>
      <w:footerReference r:id="rId3" w:type="default"/>
      <w:pgSz w:w="11906" w:h="16838"/>
      <w:pgMar w:top="1418" w:right="1133" w:bottom="1135" w:left="900" w:header="851" w:footer="50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Verdana">
    <w:panose1 w:val="020B0604030504040204"/>
    <w:charset w:val="00"/>
    <w:family w:val="auto"/>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57CCC4">
    <w:pPr>
      <w:pStyle w:val="11"/>
      <w:jc w:val="center"/>
      <w:rPr>
        <w:rFonts w:ascii="宋体"/>
        <w:sz w:val="24"/>
        <w:szCs w:val="24"/>
      </w:rPr>
    </w:pPr>
    <w:r>
      <w:rPr>
        <w:rStyle w:val="20"/>
        <w:rFonts w:ascii="宋体" w:hAnsi="宋体"/>
        <w:sz w:val="24"/>
        <w:szCs w:val="24"/>
      </w:rPr>
      <w:fldChar w:fldCharType="begin"/>
    </w:r>
    <w:r>
      <w:rPr>
        <w:rStyle w:val="20"/>
        <w:rFonts w:ascii="宋体" w:hAnsi="宋体"/>
        <w:sz w:val="24"/>
        <w:szCs w:val="24"/>
      </w:rPr>
      <w:instrText xml:space="preserve"> PAGE </w:instrText>
    </w:r>
    <w:r>
      <w:rPr>
        <w:rStyle w:val="20"/>
        <w:rFonts w:ascii="宋体" w:hAnsi="宋体"/>
        <w:sz w:val="24"/>
        <w:szCs w:val="24"/>
      </w:rPr>
      <w:fldChar w:fldCharType="separate"/>
    </w:r>
    <w:r>
      <w:rPr>
        <w:rStyle w:val="20"/>
        <w:rFonts w:ascii="宋体" w:hAnsi="宋体"/>
        <w:sz w:val="24"/>
        <w:szCs w:val="24"/>
      </w:rPr>
      <w:t>4</w:t>
    </w:r>
    <w:r>
      <w:rPr>
        <w:rStyle w:val="20"/>
        <w:rFonts w:ascii="宋体" w:hAnsi="宋体"/>
        <w:sz w:val="24"/>
        <w:szCs w:val="24"/>
      </w:rPr>
      <w:fldChar w:fldCharType="end"/>
    </w:r>
    <w:r>
      <w:rPr>
        <w:rStyle w:val="20"/>
        <w:rFonts w:ascii="宋体" w:hAnsi="宋体"/>
        <w:sz w:val="24"/>
        <w:szCs w:val="24"/>
      </w:rPr>
      <w:t>/</w:t>
    </w:r>
    <w:r>
      <w:rPr>
        <w:rStyle w:val="20"/>
        <w:rFonts w:ascii="宋体" w:hAnsi="宋体"/>
        <w:sz w:val="24"/>
        <w:szCs w:val="24"/>
      </w:rPr>
      <w:fldChar w:fldCharType="begin"/>
    </w:r>
    <w:r>
      <w:rPr>
        <w:rStyle w:val="20"/>
        <w:rFonts w:ascii="宋体" w:hAnsi="宋体"/>
        <w:sz w:val="24"/>
        <w:szCs w:val="24"/>
      </w:rPr>
      <w:instrText xml:space="preserve"> NUMPAGES </w:instrText>
    </w:r>
    <w:r>
      <w:rPr>
        <w:rStyle w:val="20"/>
        <w:rFonts w:ascii="宋体" w:hAnsi="宋体"/>
        <w:sz w:val="24"/>
        <w:szCs w:val="24"/>
      </w:rPr>
      <w:fldChar w:fldCharType="separate"/>
    </w:r>
    <w:r>
      <w:rPr>
        <w:rStyle w:val="20"/>
        <w:rFonts w:ascii="宋体" w:hAnsi="宋体"/>
        <w:sz w:val="24"/>
        <w:szCs w:val="24"/>
      </w:rPr>
      <w:t>37</w:t>
    </w:r>
    <w:r>
      <w:rPr>
        <w:rStyle w:val="20"/>
        <w:rFonts w:ascii="宋体" w:hAnsi="宋体"/>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F"/>
    <w:multiLevelType w:val="singleLevel"/>
    <w:tmpl w:val="FFFFFF7F"/>
    <w:lvl w:ilvl="0" w:tentative="0">
      <w:start w:val="1"/>
      <w:numFmt w:val="decimal"/>
      <w:pStyle w:val="16"/>
      <w:lvlText w:val="%1."/>
      <w:lvlJc w:val="left"/>
      <w:pPr>
        <w:tabs>
          <w:tab w:val="left" w:pos="780"/>
        </w:tabs>
        <w:ind w:left="780" w:hanging="360"/>
      </w:pPr>
    </w:lvl>
  </w:abstractNum>
  <w:abstractNum w:abstractNumId="1">
    <w:nsid w:val="6A280582"/>
    <w:multiLevelType w:val="singleLevel"/>
    <w:tmpl w:val="6A280582"/>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N2RlODY0ZTk5ZDJjYTQ4MTZjMjVlOTYzYzRkYTVjMWQifQ=="/>
  </w:docVars>
  <w:rsids>
    <w:rsidRoot w:val="00C457B2"/>
    <w:rsid w:val="00002805"/>
    <w:rsid w:val="00003BF8"/>
    <w:rsid w:val="00004B73"/>
    <w:rsid w:val="00005FEA"/>
    <w:rsid w:val="00012CEB"/>
    <w:rsid w:val="00016803"/>
    <w:rsid w:val="000175CD"/>
    <w:rsid w:val="000219CC"/>
    <w:rsid w:val="00025AEA"/>
    <w:rsid w:val="00025D17"/>
    <w:rsid w:val="0004042A"/>
    <w:rsid w:val="00045BFA"/>
    <w:rsid w:val="00052577"/>
    <w:rsid w:val="00096FA3"/>
    <w:rsid w:val="000B0749"/>
    <w:rsid w:val="000C452A"/>
    <w:rsid w:val="000C7BB7"/>
    <w:rsid w:val="000D232F"/>
    <w:rsid w:val="000E0EC6"/>
    <w:rsid w:val="000E2660"/>
    <w:rsid w:val="000F0F0F"/>
    <w:rsid w:val="00102BD1"/>
    <w:rsid w:val="00103217"/>
    <w:rsid w:val="00110DBB"/>
    <w:rsid w:val="001160A5"/>
    <w:rsid w:val="00121B46"/>
    <w:rsid w:val="00124019"/>
    <w:rsid w:val="001320CF"/>
    <w:rsid w:val="0013270E"/>
    <w:rsid w:val="0013337A"/>
    <w:rsid w:val="001357C0"/>
    <w:rsid w:val="00136772"/>
    <w:rsid w:val="00145DBA"/>
    <w:rsid w:val="0015536F"/>
    <w:rsid w:val="0016186A"/>
    <w:rsid w:val="00170E6A"/>
    <w:rsid w:val="00183FEA"/>
    <w:rsid w:val="00197391"/>
    <w:rsid w:val="001B37BD"/>
    <w:rsid w:val="001C1CC2"/>
    <w:rsid w:val="001D00A6"/>
    <w:rsid w:val="001D180C"/>
    <w:rsid w:val="001D365E"/>
    <w:rsid w:val="001E05F1"/>
    <w:rsid w:val="001E0DE1"/>
    <w:rsid w:val="001E1452"/>
    <w:rsid w:val="001E404F"/>
    <w:rsid w:val="001E4BCE"/>
    <w:rsid w:val="001E67B5"/>
    <w:rsid w:val="001F0BF7"/>
    <w:rsid w:val="001F12F7"/>
    <w:rsid w:val="001F2661"/>
    <w:rsid w:val="001F4167"/>
    <w:rsid w:val="0020704A"/>
    <w:rsid w:val="00207EFE"/>
    <w:rsid w:val="0021031D"/>
    <w:rsid w:val="0022118F"/>
    <w:rsid w:val="0022182C"/>
    <w:rsid w:val="00230471"/>
    <w:rsid w:val="00230585"/>
    <w:rsid w:val="00235A96"/>
    <w:rsid w:val="00242DB1"/>
    <w:rsid w:val="002434C0"/>
    <w:rsid w:val="00246D50"/>
    <w:rsid w:val="002543D3"/>
    <w:rsid w:val="00265A8B"/>
    <w:rsid w:val="00270E94"/>
    <w:rsid w:val="00271C29"/>
    <w:rsid w:val="00272A31"/>
    <w:rsid w:val="00274ADB"/>
    <w:rsid w:val="002837AD"/>
    <w:rsid w:val="002913F7"/>
    <w:rsid w:val="00296601"/>
    <w:rsid w:val="002A4699"/>
    <w:rsid w:val="002A5E3E"/>
    <w:rsid w:val="002B2B6C"/>
    <w:rsid w:val="002B42F7"/>
    <w:rsid w:val="002B4E61"/>
    <w:rsid w:val="002C1E73"/>
    <w:rsid w:val="002C7C7F"/>
    <w:rsid w:val="002D5F97"/>
    <w:rsid w:val="002E063E"/>
    <w:rsid w:val="002E3F54"/>
    <w:rsid w:val="00303328"/>
    <w:rsid w:val="003049DA"/>
    <w:rsid w:val="00304C7A"/>
    <w:rsid w:val="00313A54"/>
    <w:rsid w:val="00321A4A"/>
    <w:rsid w:val="00322244"/>
    <w:rsid w:val="00334539"/>
    <w:rsid w:val="00335365"/>
    <w:rsid w:val="00351972"/>
    <w:rsid w:val="00351E4F"/>
    <w:rsid w:val="00360CF5"/>
    <w:rsid w:val="00364470"/>
    <w:rsid w:val="00381827"/>
    <w:rsid w:val="0039687C"/>
    <w:rsid w:val="003A0082"/>
    <w:rsid w:val="003A1E19"/>
    <w:rsid w:val="003B12A3"/>
    <w:rsid w:val="003B4FFB"/>
    <w:rsid w:val="003C22F5"/>
    <w:rsid w:val="003C5C90"/>
    <w:rsid w:val="003D23F1"/>
    <w:rsid w:val="003D35D7"/>
    <w:rsid w:val="003E13CC"/>
    <w:rsid w:val="003E34D1"/>
    <w:rsid w:val="003F5817"/>
    <w:rsid w:val="003F7D63"/>
    <w:rsid w:val="004055DD"/>
    <w:rsid w:val="00405876"/>
    <w:rsid w:val="004148B8"/>
    <w:rsid w:val="00420F1E"/>
    <w:rsid w:val="00422A3D"/>
    <w:rsid w:val="004320E7"/>
    <w:rsid w:val="004323A1"/>
    <w:rsid w:val="00451CCB"/>
    <w:rsid w:val="00453361"/>
    <w:rsid w:val="00461B99"/>
    <w:rsid w:val="004643C1"/>
    <w:rsid w:val="004706AB"/>
    <w:rsid w:val="00473E2B"/>
    <w:rsid w:val="00474E46"/>
    <w:rsid w:val="00485C47"/>
    <w:rsid w:val="00487FEA"/>
    <w:rsid w:val="00492D8D"/>
    <w:rsid w:val="004B53BE"/>
    <w:rsid w:val="004D66FC"/>
    <w:rsid w:val="004E08D4"/>
    <w:rsid w:val="004F0285"/>
    <w:rsid w:val="004F56F0"/>
    <w:rsid w:val="004F5B83"/>
    <w:rsid w:val="005141AE"/>
    <w:rsid w:val="00516B85"/>
    <w:rsid w:val="00516D22"/>
    <w:rsid w:val="00520F72"/>
    <w:rsid w:val="00523D06"/>
    <w:rsid w:val="00527FB7"/>
    <w:rsid w:val="00551EDC"/>
    <w:rsid w:val="00553821"/>
    <w:rsid w:val="00564DD2"/>
    <w:rsid w:val="00566C26"/>
    <w:rsid w:val="00571360"/>
    <w:rsid w:val="00585485"/>
    <w:rsid w:val="00590E6A"/>
    <w:rsid w:val="005B268D"/>
    <w:rsid w:val="005B6C04"/>
    <w:rsid w:val="005C2F89"/>
    <w:rsid w:val="005C367D"/>
    <w:rsid w:val="005D4CBB"/>
    <w:rsid w:val="005E2988"/>
    <w:rsid w:val="005F3551"/>
    <w:rsid w:val="00611967"/>
    <w:rsid w:val="0061504E"/>
    <w:rsid w:val="00635735"/>
    <w:rsid w:val="00645511"/>
    <w:rsid w:val="00653B7C"/>
    <w:rsid w:val="00654E6D"/>
    <w:rsid w:val="0066396F"/>
    <w:rsid w:val="00675D58"/>
    <w:rsid w:val="0068409B"/>
    <w:rsid w:val="00684918"/>
    <w:rsid w:val="00684C4D"/>
    <w:rsid w:val="006856E0"/>
    <w:rsid w:val="00686513"/>
    <w:rsid w:val="0069606B"/>
    <w:rsid w:val="00696ED1"/>
    <w:rsid w:val="006B77AF"/>
    <w:rsid w:val="006D6C03"/>
    <w:rsid w:val="006E0D46"/>
    <w:rsid w:val="006E1ECC"/>
    <w:rsid w:val="006E4CBF"/>
    <w:rsid w:val="006F136A"/>
    <w:rsid w:val="0072514A"/>
    <w:rsid w:val="00733A58"/>
    <w:rsid w:val="007401BD"/>
    <w:rsid w:val="007409FA"/>
    <w:rsid w:val="00741C0D"/>
    <w:rsid w:val="007443E5"/>
    <w:rsid w:val="00745C04"/>
    <w:rsid w:val="00747300"/>
    <w:rsid w:val="00752506"/>
    <w:rsid w:val="00752584"/>
    <w:rsid w:val="00754B17"/>
    <w:rsid w:val="007607A5"/>
    <w:rsid w:val="00774A88"/>
    <w:rsid w:val="007769A9"/>
    <w:rsid w:val="007907A3"/>
    <w:rsid w:val="00790C20"/>
    <w:rsid w:val="00792178"/>
    <w:rsid w:val="00794B9A"/>
    <w:rsid w:val="007963C5"/>
    <w:rsid w:val="007975F1"/>
    <w:rsid w:val="007A32C8"/>
    <w:rsid w:val="007B58A9"/>
    <w:rsid w:val="007B5A2C"/>
    <w:rsid w:val="007D4EE9"/>
    <w:rsid w:val="007E35B1"/>
    <w:rsid w:val="007E5A4B"/>
    <w:rsid w:val="007E7536"/>
    <w:rsid w:val="00810DE3"/>
    <w:rsid w:val="00813BEC"/>
    <w:rsid w:val="00815F0B"/>
    <w:rsid w:val="00820AFD"/>
    <w:rsid w:val="00826922"/>
    <w:rsid w:val="00827A7D"/>
    <w:rsid w:val="008450A6"/>
    <w:rsid w:val="00861F8D"/>
    <w:rsid w:val="008639DB"/>
    <w:rsid w:val="008642E8"/>
    <w:rsid w:val="0087121A"/>
    <w:rsid w:val="00887E41"/>
    <w:rsid w:val="008A0E58"/>
    <w:rsid w:val="008A1CD0"/>
    <w:rsid w:val="008A3FCE"/>
    <w:rsid w:val="008A4691"/>
    <w:rsid w:val="008B51D7"/>
    <w:rsid w:val="008D03E4"/>
    <w:rsid w:val="008D05A5"/>
    <w:rsid w:val="008D1E2D"/>
    <w:rsid w:val="008D5639"/>
    <w:rsid w:val="008D6072"/>
    <w:rsid w:val="008F4987"/>
    <w:rsid w:val="00900478"/>
    <w:rsid w:val="00905791"/>
    <w:rsid w:val="009106DE"/>
    <w:rsid w:val="00922F90"/>
    <w:rsid w:val="00925581"/>
    <w:rsid w:val="009321C7"/>
    <w:rsid w:val="00936681"/>
    <w:rsid w:val="00940EFE"/>
    <w:rsid w:val="00945482"/>
    <w:rsid w:val="009458F8"/>
    <w:rsid w:val="0095325D"/>
    <w:rsid w:val="00964B34"/>
    <w:rsid w:val="009803AB"/>
    <w:rsid w:val="009830BF"/>
    <w:rsid w:val="00983AD0"/>
    <w:rsid w:val="009862B0"/>
    <w:rsid w:val="009876FC"/>
    <w:rsid w:val="0099347D"/>
    <w:rsid w:val="009954F4"/>
    <w:rsid w:val="009A5E59"/>
    <w:rsid w:val="009B3E54"/>
    <w:rsid w:val="009D51E3"/>
    <w:rsid w:val="009D52BA"/>
    <w:rsid w:val="009D5795"/>
    <w:rsid w:val="009D57AB"/>
    <w:rsid w:val="009E07FE"/>
    <w:rsid w:val="009E0B4C"/>
    <w:rsid w:val="009E2007"/>
    <w:rsid w:val="009F1792"/>
    <w:rsid w:val="009F7BF6"/>
    <w:rsid w:val="00A01198"/>
    <w:rsid w:val="00A03556"/>
    <w:rsid w:val="00A10CA3"/>
    <w:rsid w:val="00A125B1"/>
    <w:rsid w:val="00A1547D"/>
    <w:rsid w:val="00A221B1"/>
    <w:rsid w:val="00A315A8"/>
    <w:rsid w:val="00A33321"/>
    <w:rsid w:val="00A4034B"/>
    <w:rsid w:val="00A52FA9"/>
    <w:rsid w:val="00A67B7A"/>
    <w:rsid w:val="00A941EC"/>
    <w:rsid w:val="00AB0604"/>
    <w:rsid w:val="00AB11AA"/>
    <w:rsid w:val="00AB4524"/>
    <w:rsid w:val="00AC6D18"/>
    <w:rsid w:val="00AD4D0A"/>
    <w:rsid w:val="00AE5765"/>
    <w:rsid w:val="00AE75C4"/>
    <w:rsid w:val="00B0208B"/>
    <w:rsid w:val="00B20742"/>
    <w:rsid w:val="00B318CB"/>
    <w:rsid w:val="00B31B5E"/>
    <w:rsid w:val="00B33068"/>
    <w:rsid w:val="00B3363B"/>
    <w:rsid w:val="00B51313"/>
    <w:rsid w:val="00B51558"/>
    <w:rsid w:val="00B57785"/>
    <w:rsid w:val="00B57DFD"/>
    <w:rsid w:val="00B8210F"/>
    <w:rsid w:val="00B83C4B"/>
    <w:rsid w:val="00B941EB"/>
    <w:rsid w:val="00BA4EE4"/>
    <w:rsid w:val="00BB26CA"/>
    <w:rsid w:val="00BC263D"/>
    <w:rsid w:val="00BC5F37"/>
    <w:rsid w:val="00BD5BD9"/>
    <w:rsid w:val="00BD5C2B"/>
    <w:rsid w:val="00BE6B5B"/>
    <w:rsid w:val="00BF236F"/>
    <w:rsid w:val="00BF2EC2"/>
    <w:rsid w:val="00BF68EA"/>
    <w:rsid w:val="00C01909"/>
    <w:rsid w:val="00C04C2F"/>
    <w:rsid w:val="00C125BC"/>
    <w:rsid w:val="00C201F9"/>
    <w:rsid w:val="00C24509"/>
    <w:rsid w:val="00C3763F"/>
    <w:rsid w:val="00C457B2"/>
    <w:rsid w:val="00C54FA3"/>
    <w:rsid w:val="00C55FCC"/>
    <w:rsid w:val="00C649B1"/>
    <w:rsid w:val="00C832C6"/>
    <w:rsid w:val="00C87039"/>
    <w:rsid w:val="00C9133D"/>
    <w:rsid w:val="00C935BF"/>
    <w:rsid w:val="00C95FA3"/>
    <w:rsid w:val="00C963B1"/>
    <w:rsid w:val="00CA1B49"/>
    <w:rsid w:val="00CB4918"/>
    <w:rsid w:val="00CB4A83"/>
    <w:rsid w:val="00CB68D9"/>
    <w:rsid w:val="00CC7CD0"/>
    <w:rsid w:val="00CD1032"/>
    <w:rsid w:val="00CD3E97"/>
    <w:rsid w:val="00CE0374"/>
    <w:rsid w:val="00CE7480"/>
    <w:rsid w:val="00CF03EA"/>
    <w:rsid w:val="00CF278F"/>
    <w:rsid w:val="00D012C6"/>
    <w:rsid w:val="00D04393"/>
    <w:rsid w:val="00D12E14"/>
    <w:rsid w:val="00D274E5"/>
    <w:rsid w:val="00D30B5B"/>
    <w:rsid w:val="00D31ACF"/>
    <w:rsid w:val="00D353B8"/>
    <w:rsid w:val="00D3597F"/>
    <w:rsid w:val="00D44E0C"/>
    <w:rsid w:val="00D44FE7"/>
    <w:rsid w:val="00D56165"/>
    <w:rsid w:val="00D57F3A"/>
    <w:rsid w:val="00DA018F"/>
    <w:rsid w:val="00DA0E43"/>
    <w:rsid w:val="00DA1802"/>
    <w:rsid w:val="00DA3B5A"/>
    <w:rsid w:val="00DA40FB"/>
    <w:rsid w:val="00DB080A"/>
    <w:rsid w:val="00DB2B69"/>
    <w:rsid w:val="00DB4563"/>
    <w:rsid w:val="00DB7B35"/>
    <w:rsid w:val="00DD0A35"/>
    <w:rsid w:val="00DD44C9"/>
    <w:rsid w:val="00DE271A"/>
    <w:rsid w:val="00DE3610"/>
    <w:rsid w:val="00DE463A"/>
    <w:rsid w:val="00DF62B9"/>
    <w:rsid w:val="00DF7D34"/>
    <w:rsid w:val="00E02BC0"/>
    <w:rsid w:val="00E03A47"/>
    <w:rsid w:val="00E0438F"/>
    <w:rsid w:val="00E10683"/>
    <w:rsid w:val="00E14D3A"/>
    <w:rsid w:val="00E221A7"/>
    <w:rsid w:val="00E2631F"/>
    <w:rsid w:val="00E32263"/>
    <w:rsid w:val="00E415D7"/>
    <w:rsid w:val="00E66812"/>
    <w:rsid w:val="00E71AFD"/>
    <w:rsid w:val="00E945F4"/>
    <w:rsid w:val="00E96B73"/>
    <w:rsid w:val="00EA647A"/>
    <w:rsid w:val="00EA66E4"/>
    <w:rsid w:val="00EB0BEF"/>
    <w:rsid w:val="00EB7078"/>
    <w:rsid w:val="00ED0A9C"/>
    <w:rsid w:val="00ED3407"/>
    <w:rsid w:val="00ED3B6A"/>
    <w:rsid w:val="00EE28F5"/>
    <w:rsid w:val="00EE453A"/>
    <w:rsid w:val="00EE5F9B"/>
    <w:rsid w:val="00EF5664"/>
    <w:rsid w:val="00F01816"/>
    <w:rsid w:val="00F06836"/>
    <w:rsid w:val="00F13332"/>
    <w:rsid w:val="00F145B0"/>
    <w:rsid w:val="00F22920"/>
    <w:rsid w:val="00F43B9D"/>
    <w:rsid w:val="00F5427A"/>
    <w:rsid w:val="00F73F61"/>
    <w:rsid w:val="00F77A93"/>
    <w:rsid w:val="00F84A57"/>
    <w:rsid w:val="00F8624E"/>
    <w:rsid w:val="00F9171B"/>
    <w:rsid w:val="00F9232F"/>
    <w:rsid w:val="00FA10BD"/>
    <w:rsid w:val="00FA535B"/>
    <w:rsid w:val="00FA5789"/>
    <w:rsid w:val="00FB1647"/>
    <w:rsid w:val="00FD78EA"/>
    <w:rsid w:val="00FE1A8E"/>
    <w:rsid w:val="00FE43AA"/>
    <w:rsid w:val="00FF26A4"/>
    <w:rsid w:val="00FF29B8"/>
    <w:rsid w:val="071603BE"/>
    <w:rsid w:val="076247AC"/>
    <w:rsid w:val="08E4634A"/>
    <w:rsid w:val="09FD44E6"/>
    <w:rsid w:val="0BB1145F"/>
    <w:rsid w:val="0E190268"/>
    <w:rsid w:val="0E363A45"/>
    <w:rsid w:val="0F9D0696"/>
    <w:rsid w:val="101755A5"/>
    <w:rsid w:val="163B0B96"/>
    <w:rsid w:val="1E723956"/>
    <w:rsid w:val="28155F45"/>
    <w:rsid w:val="29196788"/>
    <w:rsid w:val="29E803C3"/>
    <w:rsid w:val="2B7C61BF"/>
    <w:rsid w:val="2BD81DC1"/>
    <w:rsid w:val="2DBF1599"/>
    <w:rsid w:val="2E4B4B86"/>
    <w:rsid w:val="2E9A31D8"/>
    <w:rsid w:val="2F6A7849"/>
    <w:rsid w:val="2FA66557"/>
    <w:rsid w:val="34AB0B8C"/>
    <w:rsid w:val="38ED1059"/>
    <w:rsid w:val="3AA51998"/>
    <w:rsid w:val="3D762284"/>
    <w:rsid w:val="3FBB4D9D"/>
    <w:rsid w:val="408469E4"/>
    <w:rsid w:val="437D79C7"/>
    <w:rsid w:val="46693892"/>
    <w:rsid w:val="494519B3"/>
    <w:rsid w:val="49B123F5"/>
    <w:rsid w:val="4C0813AE"/>
    <w:rsid w:val="4D746736"/>
    <w:rsid w:val="4DB46E57"/>
    <w:rsid w:val="53922A86"/>
    <w:rsid w:val="544D72DC"/>
    <w:rsid w:val="548670BA"/>
    <w:rsid w:val="590A1E4D"/>
    <w:rsid w:val="5ADB6194"/>
    <w:rsid w:val="5AEA0773"/>
    <w:rsid w:val="5BF6326E"/>
    <w:rsid w:val="5FBE7D8F"/>
    <w:rsid w:val="60746A4B"/>
    <w:rsid w:val="61897B09"/>
    <w:rsid w:val="61F71336"/>
    <w:rsid w:val="63D84EDF"/>
    <w:rsid w:val="63DF6AAB"/>
    <w:rsid w:val="648949E7"/>
    <w:rsid w:val="69B94755"/>
    <w:rsid w:val="6A343F70"/>
    <w:rsid w:val="6BC0155D"/>
    <w:rsid w:val="6F187FDD"/>
    <w:rsid w:val="70D72EF1"/>
    <w:rsid w:val="72D33736"/>
    <w:rsid w:val="73413A6E"/>
    <w:rsid w:val="741F00C1"/>
    <w:rsid w:val="7F302CFB"/>
    <w:rsid w:val="7FE530B9"/>
  </w:rsids>
  <m:mathPr>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qFormat="1" w:uiPriority="0" w:semiHidden="0" w:name="envelope return"/>
    <w:lsdException w:uiPriority="0" w:name="footnote reference"/>
    <w:lsdException w:uiPriority="0" w:name="annotation reference"/>
    <w:lsdException w:uiPriority="0" w:name="line number"/>
    <w:lsdException w:qFormat="1"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qFormat="1" w:uiPriority="0" w:semiHidden="0" w:name="Body Text First Indent"/>
    <w:lsdException w:qFormat="1" w:uiPriority="0" w:semiHidden="0" w:name="Body Text First Indent 2"/>
    <w:lsdException w:uiPriority="0" w:name="Note Heading"/>
    <w:lsdException w:qFormat="1"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4"/>
    <w:qFormat/>
    <w:locked/>
    <w:uiPriority w:val="9"/>
    <w:pPr>
      <w:keepNext/>
      <w:keepLines/>
      <w:spacing w:before="340" w:after="330" w:line="578" w:lineRule="auto"/>
      <w:outlineLvl w:val="0"/>
    </w:pPr>
    <w:rPr>
      <w:b/>
      <w:bCs/>
      <w:kern w:val="44"/>
      <w:sz w:val="44"/>
      <w:szCs w:val="44"/>
    </w:rPr>
  </w:style>
  <w:style w:type="paragraph" w:styleId="3">
    <w:name w:val="heading 2"/>
    <w:basedOn w:val="1"/>
    <w:next w:val="1"/>
    <w:link w:val="28"/>
    <w:qFormat/>
    <w:uiPriority w:val="9"/>
    <w:pPr>
      <w:keepNext/>
      <w:keepLines/>
      <w:spacing w:before="260" w:after="260" w:line="415" w:lineRule="auto"/>
      <w:outlineLvl w:val="1"/>
    </w:pPr>
    <w:rPr>
      <w:rFonts w:ascii="Arial" w:hAnsi="Arial" w:eastAsia="黑体"/>
      <w:b/>
      <w:bCs/>
      <w:sz w:val="32"/>
      <w:szCs w:val="32"/>
    </w:rPr>
  </w:style>
  <w:style w:type="character" w:default="1" w:styleId="19">
    <w:name w:val="Default Paragraph Font"/>
    <w:unhideWhenUsed/>
    <w:qFormat/>
    <w:uiPriority w:val="1"/>
  </w:style>
  <w:style w:type="table" w:default="1" w:styleId="17">
    <w:name w:val="Normal Table"/>
    <w:unhideWhenUsed/>
    <w:qFormat/>
    <w:uiPriority w:val="99"/>
    <w:tblPr>
      <w:tblCellMar>
        <w:top w:w="0" w:type="dxa"/>
        <w:left w:w="108" w:type="dxa"/>
        <w:bottom w:w="0" w:type="dxa"/>
        <w:right w:w="108" w:type="dxa"/>
      </w:tblCellMar>
    </w:tblPr>
  </w:style>
  <w:style w:type="paragraph" w:styleId="4">
    <w:name w:val="Body Text"/>
    <w:basedOn w:val="1"/>
    <w:next w:val="5"/>
    <w:link w:val="38"/>
    <w:qFormat/>
    <w:uiPriority w:val="0"/>
    <w:pPr>
      <w:widowControl/>
      <w:jc w:val="left"/>
    </w:pPr>
    <w:rPr>
      <w:b/>
      <w:bCs/>
      <w:kern w:val="0"/>
      <w:sz w:val="24"/>
      <w:lang w:eastAsia="en-US"/>
    </w:rPr>
  </w:style>
  <w:style w:type="paragraph" w:styleId="5">
    <w:name w:val="Body Text 2"/>
    <w:basedOn w:val="1"/>
    <w:unhideWhenUsed/>
    <w:qFormat/>
    <w:uiPriority w:val="0"/>
    <w:pPr>
      <w:spacing w:line="384" w:lineRule="auto"/>
    </w:pPr>
    <w:rPr>
      <w:rFonts w:ascii="宋体" w:hAnsi="宋体"/>
      <w:sz w:val="24"/>
    </w:rPr>
  </w:style>
  <w:style w:type="paragraph" w:styleId="6">
    <w:name w:val="Body Text Indent"/>
    <w:basedOn w:val="1"/>
    <w:next w:val="7"/>
    <w:link w:val="37"/>
    <w:qFormat/>
    <w:uiPriority w:val="0"/>
    <w:pPr>
      <w:ind w:left="62" w:leftChars="62"/>
    </w:pPr>
    <w:rPr>
      <w:rFonts w:hint="eastAsia" w:ascii="宋体" w:hAnsi="宋体"/>
      <w:sz w:val="28"/>
    </w:rPr>
  </w:style>
  <w:style w:type="paragraph" w:styleId="7">
    <w:name w:val="envelope return"/>
    <w:basedOn w:val="1"/>
    <w:unhideWhenUsed/>
    <w:qFormat/>
    <w:uiPriority w:val="0"/>
    <w:pPr>
      <w:snapToGrid w:val="0"/>
      <w:spacing w:line="360" w:lineRule="auto"/>
    </w:pPr>
    <w:rPr>
      <w:rFonts w:ascii="Arial" w:hAnsi="Arial" w:cs="Arial"/>
    </w:rPr>
  </w:style>
  <w:style w:type="paragraph" w:styleId="8">
    <w:name w:val="Plain Text"/>
    <w:basedOn w:val="1"/>
    <w:link w:val="32"/>
    <w:qFormat/>
    <w:uiPriority w:val="0"/>
    <w:rPr>
      <w:rFonts w:ascii="宋体"/>
      <w:kern w:val="0"/>
    </w:rPr>
  </w:style>
  <w:style w:type="paragraph" w:styleId="9">
    <w:name w:val="Date"/>
    <w:basedOn w:val="1"/>
    <w:next w:val="1"/>
    <w:link w:val="31"/>
    <w:qFormat/>
    <w:uiPriority w:val="99"/>
    <w:pPr>
      <w:ind w:left="2500" w:leftChars="2500"/>
    </w:pPr>
    <w:rPr>
      <w:rFonts w:ascii="Calibri" w:hAnsi="Calibri" w:cs="Arial"/>
      <w:szCs w:val="22"/>
    </w:rPr>
  </w:style>
  <w:style w:type="paragraph" w:styleId="10">
    <w:name w:val="Balloon Text"/>
    <w:basedOn w:val="1"/>
    <w:link w:val="33"/>
    <w:unhideWhenUsed/>
    <w:qFormat/>
    <w:uiPriority w:val="99"/>
    <w:rPr>
      <w:sz w:val="18"/>
      <w:szCs w:val="18"/>
    </w:rPr>
  </w:style>
  <w:style w:type="paragraph" w:styleId="11">
    <w:name w:val="footer"/>
    <w:basedOn w:val="1"/>
    <w:link w:val="30"/>
    <w:qFormat/>
    <w:uiPriority w:val="99"/>
    <w:pPr>
      <w:tabs>
        <w:tab w:val="center" w:pos="4153"/>
        <w:tab w:val="right" w:pos="8306"/>
      </w:tabs>
      <w:snapToGrid w:val="0"/>
      <w:jc w:val="left"/>
    </w:pPr>
    <w:rPr>
      <w:sz w:val="18"/>
      <w:szCs w:val="18"/>
    </w:rPr>
  </w:style>
  <w:style w:type="paragraph" w:styleId="12">
    <w:name w:val="header"/>
    <w:basedOn w:val="1"/>
    <w:link w:val="29"/>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unhideWhenUsed/>
    <w:qFormat/>
    <w:uiPriority w:val="99"/>
    <w:pPr>
      <w:widowControl/>
      <w:jc w:val="left"/>
    </w:pPr>
    <w:rPr>
      <w:rFonts w:ascii="宋体" w:hAnsi="宋体" w:cs="宋体"/>
      <w:kern w:val="0"/>
      <w:sz w:val="24"/>
    </w:rPr>
  </w:style>
  <w:style w:type="paragraph" w:styleId="14">
    <w:name w:val="Title"/>
    <w:basedOn w:val="1"/>
    <w:next w:val="1"/>
    <w:link w:val="35"/>
    <w:qFormat/>
    <w:locked/>
    <w:uiPriority w:val="0"/>
    <w:pPr>
      <w:adjustRightInd w:val="0"/>
      <w:spacing w:before="240" w:after="60" w:line="312" w:lineRule="atLeast"/>
      <w:jc w:val="center"/>
      <w:textAlignment w:val="baseline"/>
      <w:outlineLvl w:val="0"/>
    </w:pPr>
    <w:rPr>
      <w:rFonts w:ascii="Cambria" w:hAnsi="Cambria"/>
      <w:b/>
      <w:bCs/>
      <w:kern w:val="0"/>
      <w:sz w:val="32"/>
      <w:szCs w:val="32"/>
    </w:rPr>
  </w:style>
  <w:style w:type="paragraph" w:styleId="15">
    <w:name w:val="Body Text First Indent"/>
    <w:basedOn w:val="4"/>
    <w:next w:val="16"/>
    <w:unhideWhenUsed/>
    <w:qFormat/>
    <w:uiPriority w:val="0"/>
    <w:pPr>
      <w:spacing w:line="360" w:lineRule="auto"/>
      <w:ind w:firstLine="420" w:firstLineChars="100"/>
    </w:pPr>
  </w:style>
  <w:style w:type="paragraph" w:styleId="16">
    <w:name w:val="Body Text First Indent 2"/>
    <w:basedOn w:val="6"/>
    <w:next w:val="1"/>
    <w:unhideWhenUsed/>
    <w:qFormat/>
    <w:uiPriority w:val="0"/>
    <w:pPr>
      <w:numPr>
        <w:ilvl w:val="0"/>
        <w:numId w:val="1"/>
      </w:numPr>
      <w:tabs>
        <w:tab w:val="left" w:pos="432"/>
        <w:tab w:val="clear" w:pos="780"/>
      </w:tabs>
      <w:spacing w:line="360" w:lineRule="auto"/>
      <w:ind w:left="420" w:firstLine="210" w:firstLineChars="200"/>
    </w:pPr>
    <w:rPr>
      <w:bCs/>
    </w:rPr>
  </w:style>
  <w:style w:type="table" w:styleId="18">
    <w:name w:val="Table Grid"/>
    <w:basedOn w:val="1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99"/>
    <w:rPr>
      <w:rFonts w:cs="Times New Roman"/>
    </w:rPr>
  </w:style>
  <w:style w:type="character" w:styleId="21">
    <w:name w:val="Hyperlink"/>
    <w:qFormat/>
    <w:uiPriority w:val="0"/>
    <w:rPr>
      <w:color w:val="0000FF"/>
      <w:u w:val="single"/>
    </w:rPr>
  </w:style>
  <w:style w:type="paragraph" w:customStyle="1" w:styleId="22">
    <w:name w:val="Char Char Char Char"/>
    <w:basedOn w:val="1"/>
    <w:semiHidden/>
    <w:qFormat/>
    <w:uiPriority w:val="99"/>
    <w:pPr>
      <w:widowControl/>
      <w:spacing w:after="160" w:line="240" w:lineRule="exact"/>
      <w:jc w:val="left"/>
    </w:pPr>
    <w:rPr>
      <w:rFonts w:ascii="Verdana" w:hAnsi="Verdana"/>
      <w:kern w:val="0"/>
      <w:sz w:val="20"/>
      <w:szCs w:val="20"/>
      <w:lang w:eastAsia="en-US"/>
    </w:rPr>
  </w:style>
  <w:style w:type="paragraph" w:customStyle="1" w:styleId="23">
    <w:name w:val="List Paragraph1"/>
    <w:basedOn w:val="1"/>
    <w:qFormat/>
    <w:uiPriority w:val="0"/>
    <w:pPr>
      <w:ind w:firstLine="200" w:firstLineChars="200"/>
    </w:pPr>
    <w:rPr>
      <w:rFonts w:ascii="Calibri" w:hAnsi="Calibri" w:cs="Arial"/>
      <w:szCs w:val="22"/>
    </w:rPr>
  </w:style>
  <w:style w:type="paragraph" w:customStyle="1" w:styleId="24">
    <w:name w:val="列表段落1"/>
    <w:basedOn w:val="1"/>
    <w:qFormat/>
    <w:uiPriority w:val="0"/>
    <w:pPr>
      <w:ind w:firstLine="420" w:firstLineChars="200"/>
    </w:pPr>
  </w:style>
  <w:style w:type="paragraph" w:customStyle="1" w:styleId="25">
    <w:name w:val="列出段落1"/>
    <w:basedOn w:val="1"/>
    <w:qFormat/>
    <w:uiPriority w:val="34"/>
    <w:pPr>
      <w:ind w:firstLine="420" w:firstLineChars="200"/>
    </w:pPr>
  </w:style>
  <w:style w:type="paragraph" w:customStyle="1" w:styleId="26">
    <w:name w:val="_Style 1"/>
    <w:basedOn w:val="1"/>
    <w:unhideWhenUsed/>
    <w:qFormat/>
    <w:uiPriority w:val="34"/>
    <w:pPr>
      <w:ind w:left="952" w:hanging="240"/>
    </w:pPr>
    <w:rPr>
      <w:rFonts w:ascii="宋体" w:hAnsi="宋体" w:cs="宋体"/>
    </w:rPr>
  </w:style>
  <w:style w:type="paragraph" w:customStyle="1" w:styleId="27">
    <w:name w:val="一级目录"/>
    <w:basedOn w:val="1"/>
    <w:qFormat/>
    <w:uiPriority w:val="0"/>
    <w:pPr>
      <w:spacing w:before="156" w:beforeLines="50" w:after="156" w:afterLines="50"/>
    </w:pPr>
    <w:rPr>
      <w:rFonts w:eastAsia="黑体"/>
    </w:rPr>
  </w:style>
  <w:style w:type="character" w:customStyle="1" w:styleId="28">
    <w:name w:val="标题 2 字符"/>
    <w:basedOn w:val="19"/>
    <w:link w:val="3"/>
    <w:qFormat/>
    <w:locked/>
    <w:uiPriority w:val="9"/>
    <w:rPr>
      <w:rFonts w:ascii="Arial" w:hAnsi="Arial" w:eastAsia="黑体" w:cs="Times New Roman"/>
      <w:b/>
      <w:bCs/>
      <w:kern w:val="2"/>
      <w:sz w:val="32"/>
      <w:szCs w:val="32"/>
    </w:rPr>
  </w:style>
  <w:style w:type="character" w:customStyle="1" w:styleId="29">
    <w:name w:val="页眉 字符"/>
    <w:basedOn w:val="19"/>
    <w:link w:val="12"/>
    <w:qFormat/>
    <w:locked/>
    <w:uiPriority w:val="99"/>
    <w:rPr>
      <w:rFonts w:cs="Times New Roman"/>
      <w:kern w:val="2"/>
      <w:sz w:val="18"/>
      <w:szCs w:val="18"/>
    </w:rPr>
  </w:style>
  <w:style w:type="character" w:customStyle="1" w:styleId="30">
    <w:name w:val="页脚 字符"/>
    <w:basedOn w:val="19"/>
    <w:link w:val="11"/>
    <w:qFormat/>
    <w:locked/>
    <w:uiPriority w:val="99"/>
    <w:rPr>
      <w:rFonts w:cs="Times New Roman"/>
      <w:kern w:val="2"/>
      <w:sz w:val="18"/>
      <w:szCs w:val="18"/>
    </w:rPr>
  </w:style>
  <w:style w:type="character" w:customStyle="1" w:styleId="31">
    <w:name w:val="日期 字符"/>
    <w:basedOn w:val="19"/>
    <w:link w:val="9"/>
    <w:qFormat/>
    <w:locked/>
    <w:uiPriority w:val="99"/>
    <w:rPr>
      <w:rFonts w:ascii="Calibri" w:hAnsi="Calibri" w:cs="Arial"/>
      <w:kern w:val="2"/>
      <w:sz w:val="22"/>
      <w:szCs w:val="22"/>
    </w:rPr>
  </w:style>
  <w:style w:type="character" w:customStyle="1" w:styleId="32">
    <w:name w:val="纯文本 字符"/>
    <w:basedOn w:val="19"/>
    <w:link w:val="8"/>
    <w:qFormat/>
    <w:locked/>
    <w:uiPriority w:val="99"/>
    <w:rPr>
      <w:rFonts w:ascii="宋体" w:cs="Times New Roman"/>
      <w:sz w:val="24"/>
      <w:szCs w:val="24"/>
    </w:rPr>
  </w:style>
  <w:style w:type="character" w:customStyle="1" w:styleId="33">
    <w:name w:val="批注框文本 字符"/>
    <w:basedOn w:val="19"/>
    <w:link w:val="10"/>
    <w:semiHidden/>
    <w:qFormat/>
    <w:uiPriority w:val="99"/>
    <w:rPr>
      <w:kern w:val="2"/>
      <w:sz w:val="18"/>
      <w:szCs w:val="18"/>
    </w:rPr>
  </w:style>
  <w:style w:type="character" w:customStyle="1" w:styleId="34">
    <w:name w:val="标题 1 字符"/>
    <w:basedOn w:val="19"/>
    <w:link w:val="2"/>
    <w:qFormat/>
    <w:uiPriority w:val="9"/>
    <w:rPr>
      <w:b/>
      <w:bCs/>
      <w:kern w:val="44"/>
      <w:sz w:val="44"/>
      <w:szCs w:val="44"/>
    </w:rPr>
  </w:style>
  <w:style w:type="character" w:customStyle="1" w:styleId="35">
    <w:name w:val="标题 字符"/>
    <w:basedOn w:val="19"/>
    <w:link w:val="14"/>
    <w:qFormat/>
    <w:uiPriority w:val="0"/>
    <w:rPr>
      <w:rFonts w:ascii="Cambria" w:hAnsi="Cambria"/>
      <w:b/>
      <w:bCs/>
      <w:sz w:val="32"/>
      <w:szCs w:val="32"/>
    </w:rPr>
  </w:style>
  <w:style w:type="character" w:customStyle="1" w:styleId="36">
    <w:name w:val="font01"/>
    <w:qFormat/>
    <w:uiPriority w:val="0"/>
    <w:rPr>
      <w:rFonts w:hint="eastAsia" w:ascii="宋体" w:hAnsi="宋体" w:eastAsia="宋体" w:cs="宋体"/>
      <w:color w:val="000000"/>
      <w:sz w:val="22"/>
      <w:szCs w:val="22"/>
      <w:u w:val="none"/>
    </w:rPr>
  </w:style>
  <w:style w:type="character" w:customStyle="1" w:styleId="37">
    <w:name w:val="正文文本缩进 字符"/>
    <w:basedOn w:val="19"/>
    <w:link w:val="6"/>
    <w:qFormat/>
    <w:uiPriority w:val="0"/>
    <w:rPr>
      <w:rFonts w:ascii="宋体" w:hAnsi="宋体"/>
      <w:kern w:val="2"/>
      <w:sz w:val="28"/>
      <w:szCs w:val="24"/>
    </w:rPr>
  </w:style>
  <w:style w:type="character" w:customStyle="1" w:styleId="38">
    <w:name w:val="正文文本 字符"/>
    <w:basedOn w:val="19"/>
    <w:link w:val="4"/>
    <w:qFormat/>
    <w:uiPriority w:val="0"/>
    <w:rPr>
      <w:b/>
      <w:bCs/>
      <w:sz w:val="24"/>
      <w:szCs w:val="24"/>
      <w:lang w:eastAsia="en-US"/>
    </w:rPr>
  </w:style>
  <w:style w:type="character" w:customStyle="1" w:styleId="39">
    <w:name w:val="未处理的提及1"/>
    <w:basedOn w:val="19"/>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6</Pages>
  <Words>4113</Words>
  <Characters>4369</Characters>
  <Lines>61</Lines>
  <Paragraphs>17</Paragraphs>
  <TotalTime>13</TotalTime>
  <ScaleCrop>false</ScaleCrop>
  <LinksUpToDate>false</LinksUpToDate>
  <CharactersWithSpaces>4461</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2023-07-31T08:13:00Z</dcterms:created>
  <dc:creator>微软用户</dc:creator>
  <cp:lastModifiedBy>季烨霏</cp:lastModifiedBy>
  <cp:lastPrinted>2019-07-25T02:15:00Z</cp:lastPrinted>
  <dcterms:modified xsi:type="dcterms:W3CDTF">2026-03-17T06:17:40Z</dcterms:modified>
  <dc:title>远东复合技术有限公司一台分电机传动框绞机招标技术要求</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B30D2407D52749AA90E06E17A843B924</vt:lpwstr>
  </property>
  <property fmtid="{D5CDD505-2E9C-101B-9397-08002B2CF9AE}" pid="4" name="KSOTemplateDocerSaveRecord">
    <vt:lpwstr>eyJoZGlkIjoiN2RlODY0ZTk5ZDJjYTQ4MTZjMjVlOTYzYzRkYTVjMWQiLCJ1c2VySWQiOiI4MjI4NjQ5MTgifQ==</vt:lpwstr>
  </property>
</Properties>
</file>